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583"/>
      </w:tblGrid>
      <w:tr w:rsidR="006536DB" w:rsidTr="001C5C1A">
        <w:tc>
          <w:tcPr>
            <w:tcW w:w="6480" w:type="dxa"/>
          </w:tcPr>
          <w:p w:rsidR="006536DB" w:rsidRDefault="006536DB" w:rsidP="001C5C1A">
            <w:pPr>
              <w:snapToGrid w:val="0"/>
              <w:spacing w:after="0" w:line="360" w:lineRule="auto"/>
              <w:rPr>
                <w:rFonts w:ascii="Arial" w:eastAsia="Batang" w:hAnsi="Arial" w:cs="Arial"/>
                <w:b/>
                <w:bCs/>
                <w:snapToGrid w:val="0"/>
                <w:sz w:val="24"/>
                <w:szCs w:val="24"/>
                <w:lang w:val="en-US"/>
              </w:rPr>
            </w:pPr>
            <w:r w:rsidRPr="00331E55">
              <w:rPr>
                <w:rFonts w:ascii="Arial" w:eastAsia="Batang" w:hAnsi="Arial" w:cs="Arial"/>
                <w:b/>
                <w:bCs/>
                <w:snapToGrid w:val="0"/>
                <w:sz w:val="24"/>
                <w:szCs w:val="24"/>
                <w:lang w:val="en-US"/>
              </w:rPr>
              <w:t>3GPP TSG RAN WG</w:t>
            </w:r>
            <w:r w:rsidR="001C5C1A">
              <w:rPr>
                <w:rFonts w:ascii="Arial" w:eastAsia="Batang" w:hAnsi="Arial" w:cs="Arial"/>
                <w:b/>
                <w:bCs/>
                <w:snapToGrid w:val="0"/>
                <w:sz w:val="24"/>
                <w:szCs w:val="24"/>
                <w:lang w:val="en-US"/>
              </w:rPr>
              <w:t>2</w:t>
            </w:r>
            <w:r w:rsidRPr="00331E55">
              <w:rPr>
                <w:rFonts w:ascii="Arial" w:eastAsia="Batang" w:hAnsi="Arial" w:cs="Arial"/>
                <w:b/>
                <w:bCs/>
                <w:snapToGrid w:val="0"/>
                <w:sz w:val="24"/>
                <w:szCs w:val="24"/>
                <w:lang w:val="en-US"/>
              </w:rPr>
              <w:t xml:space="preserve"> Meeting #</w:t>
            </w:r>
            <w:r w:rsidR="001C5C1A">
              <w:rPr>
                <w:rFonts w:ascii="Arial" w:eastAsia="Batang" w:hAnsi="Arial" w:cs="Arial"/>
                <w:b/>
                <w:bCs/>
                <w:snapToGrid w:val="0"/>
                <w:sz w:val="24"/>
                <w:szCs w:val="24"/>
                <w:lang w:val="en-US"/>
              </w:rPr>
              <w:t>104</w:t>
            </w:r>
          </w:p>
        </w:tc>
        <w:tc>
          <w:tcPr>
            <w:tcW w:w="2583" w:type="dxa"/>
          </w:tcPr>
          <w:p w:rsidR="006536DB" w:rsidRDefault="00D22758" w:rsidP="001C5C1A">
            <w:pPr>
              <w:snapToGrid w:val="0"/>
              <w:spacing w:after="0" w:line="360" w:lineRule="auto"/>
              <w:jc w:val="right"/>
              <w:rPr>
                <w:rFonts w:ascii="Arial" w:eastAsia="Batang" w:hAnsi="Arial" w:cs="Arial"/>
                <w:b/>
                <w:bCs/>
                <w:snapToGrid w:val="0"/>
                <w:sz w:val="24"/>
                <w:szCs w:val="24"/>
                <w:lang w:val="en-US"/>
              </w:rPr>
            </w:pPr>
            <w:r w:rsidRPr="00D22758">
              <w:rPr>
                <w:rFonts w:ascii="Arial" w:eastAsia="Batang" w:hAnsi="Arial" w:cs="Arial"/>
                <w:b/>
                <w:bCs/>
                <w:snapToGrid w:val="0"/>
                <w:sz w:val="24"/>
                <w:szCs w:val="24"/>
                <w:lang w:val="en-US"/>
              </w:rPr>
              <w:t>R2-1816436</w:t>
            </w:r>
          </w:p>
        </w:tc>
      </w:tr>
      <w:tr w:rsidR="006536DB" w:rsidTr="001C5C1A">
        <w:tc>
          <w:tcPr>
            <w:tcW w:w="6480" w:type="dxa"/>
          </w:tcPr>
          <w:p w:rsidR="006536DB" w:rsidRPr="00331E55" w:rsidRDefault="002E0614" w:rsidP="002E0614">
            <w:pPr>
              <w:snapToGrid w:val="0"/>
              <w:spacing w:after="0" w:line="360" w:lineRule="auto"/>
              <w:rPr>
                <w:rFonts w:ascii="Arial" w:eastAsia="Batang" w:hAnsi="Arial" w:cs="Arial"/>
                <w:b/>
                <w:bCs/>
                <w:snapToGrid w:val="0"/>
                <w:sz w:val="24"/>
                <w:szCs w:val="24"/>
                <w:lang w:val="en-US"/>
              </w:rPr>
            </w:pPr>
            <w:r>
              <w:rPr>
                <w:rFonts w:ascii="Arial" w:eastAsia="Batang" w:hAnsi="Arial" w:cs="Arial"/>
                <w:b/>
                <w:bCs/>
                <w:snapToGrid w:val="0"/>
                <w:sz w:val="24"/>
                <w:lang w:val="en-US"/>
              </w:rPr>
              <w:t>Spokane, USA, 12</w:t>
            </w:r>
            <w:r w:rsidRPr="002E0614">
              <w:rPr>
                <w:rFonts w:ascii="Arial" w:eastAsia="Batang" w:hAnsi="Arial" w:cs="Arial"/>
                <w:b/>
                <w:bCs/>
                <w:snapToGrid w:val="0"/>
                <w:sz w:val="24"/>
                <w:vertAlign w:val="superscript"/>
                <w:lang w:val="en-US"/>
              </w:rPr>
              <w:t>th</w:t>
            </w:r>
            <w:r>
              <w:rPr>
                <w:rFonts w:ascii="Arial" w:eastAsia="Batang" w:hAnsi="Arial" w:cs="Arial"/>
                <w:b/>
                <w:bCs/>
                <w:snapToGrid w:val="0"/>
                <w:sz w:val="24"/>
                <w:lang w:val="en-US"/>
              </w:rPr>
              <w:t xml:space="preserve"> – 16</w:t>
            </w:r>
            <w:r w:rsidRPr="002E0614">
              <w:rPr>
                <w:rFonts w:ascii="Arial" w:eastAsia="Batang" w:hAnsi="Arial" w:cs="Arial"/>
                <w:b/>
                <w:bCs/>
                <w:snapToGrid w:val="0"/>
                <w:sz w:val="24"/>
                <w:vertAlign w:val="superscript"/>
                <w:lang w:val="en-US"/>
              </w:rPr>
              <w:t>th</w:t>
            </w:r>
            <w:r>
              <w:rPr>
                <w:rFonts w:ascii="Arial" w:eastAsia="Batang" w:hAnsi="Arial" w:cs="Arial"/>
                <w:b/>
                <w:bCs/>
                <w:snapToGrid w:val="0"/>
                <w:sz w:val="24"/>
                <w:lang w:val="en-US"/>
              </w:rPr>
              <w:t xml:space="preserve"> November 2018</w:t>
            </w:r>
          </w:p>
        </w:tc>
        <w:tc>
          <w:tcPr>
            <w:tcW w:w="2583" w:type="dxa"/>
          </w:tcPr>
          <w:p w:rsidR="006536DB" w:rsidRDefault="006536DB" w:rsidP="006536DB">
            <w:pPr>
              <w:snapToGrid w:val="0"/>
              <w:spacing w:after="0" w:line="360" w:lineRule="auto"/>
              <w:jc w:val="right"/>
              <w:rPr>
                <w:rFonts w:ascii="Arial" w:eastAsia="Batang" w:hAnsi="Arial" w:cs="Arial"/>
                <w:b/>
                <w:bCs/>
                <w:snapToGrid w:val="0"/>
                <w:sz w:val="24"/>
                <w:szCs w:val="24"/>
                <w:lang w:val="en-US"/>
              </w:rPr>
            </w:pPr>
          </w:p>
        </w:tc>
      </w:tr>
    </w:tbl>
    <w:p w:rsidR="00400540" w:rsidRPr="00331E55" w:rsidRDefault="00400540" w:rsidP="00400540">
      <w:pPr>
        <w:pBdr>
          <w:bottom w:val="single" w:sz="12" w:space="1" w:color="auto"/>
        </w:pBdr>
        <w:tabs>
          <w:tab w:val="left" w:pos="1701"/>
          <w:tab w:val="right" w:pos="9072"/>
          <w:tab w:val="right" w:pos="10206"/>
        </w:tabs>
        <w:autoSpaceDE/>
        <w:autoSpaceDN/>
        <w:spacing w:after="0"/>
        <w:ind w:left="1440" w:hanging="1440"/>
        <w:rPr>
          <w:rFonts w:ascii="Arial" w:eastAsia="Batang" w:hAnsi="Arial"/>
          <w:b/>
          <w:sz w:val="22"/>
          <w:lang w:val="en-US"/>
        </w:rPr>
      </w:pPr>
    </w:p>
    <w:p w:rsidR="00400540" w:rsidRPr="00331E55" w:rsidRDefault="00400540" w:rsidP="00400540">
      <w:pPr>
        <w:tabs>
          <w:tab w:val="left" w:pos="1843"/>
        </w:tabs>
        <w:snapToGrid w:val="0"/>
        <w:spacing w:after="0" w:line="360" w:lineRule="auto"/>
        <w:rPr>
          <w:rFonts w:ascii="Arial" w:eastAsia="Batang" w:hAnsi="Arial" w:cs="Arial"/>
          <w:b/>
          <w:snapToGrid w:val="0"/>
          <w:sz w:val="24"/>
          <w:szCs w:val="24"/>
          <w:lang w:val="en-US"/>
        </w:rPr>
      </w:pPr>
    </w:p>
    <w:p w:rsidR="00E75306" w:rsidRPr="00331E55"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Agenda item:</w:t>
      </w:r>
      <w:r w:rsidRPr="00331E55">
        <w:rPr>
          <w:rFonts w:ascii="Arial" w:eastAsia="Batang" w:hAnsi="Arial" w:cs="Arial"/>
          <w:b/>
          <w:snapToGrid w:val="0"/>
          <w:sz w:val="24"/>
          <w:szCs w:val="24"/>
          <w:lang w:val="en-US"/>
        </w:rPr>
        <w:tab/>
      </w:r>
      <w:r w:rsidR="001C5C1A">
        <w:rPr>
          <w:rFonts w:ascii="Arial" w:eastAsia="Batang" w:hAnsi="Arial" w:cs="Arial"/>
          <w:b/>
          <w:snapToGrid w:val="0"/>
          <w:sz w:val="24"/>
          <w:szCs w:val="24"/>
          <w:lang w:val="en-US"/>
        </w:rPr>
        <w:t>12.2.3</w:t>
      </w:r>
    </w:p>
    <w:p w:rsidR="00513B71" w:rsidRPr="00331E55"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 xml:space="preserve">Source: </w:t>
      </w:r>
      <w:r w:rsidRPr="00331E55">
        <w:rPr>
          <w:rFonts w:ascii="Arial" w:eastAsia="Batang" w:hAnsi="Arial" w:cs="Arial"/>
          <w:b/>
          <w:snapToGrid w:val="0"/>
          <w:sz w:val="24"/>
          <w:szCs w:val="24"/>
          <w:lang w:val="en-US"/>
        </w:rPr>
        <w:tab/>
      </w:r>
      <w:r w:rsidR="00810A11" w:rsidRPr="00331E55">
        <w:rPr>
          <w:rFonts w:ascii="Arial" w:eastAsia="Batang" w:hAnsi="Arial" w:cs="Arial"/>
          <w:b/>
          <w:snapToGrid w:val="0"/>
          <w:sz w:val="24"/>
          <w:szCs w:val="24"/>
          <w:lang w:val="en-US"/>
        </w:rPr>
        <w:t>Fraunhofer IIS</w:t>
      </w:r>
      <w:r w:rsidR="003457E6">
        <w:rPr>
          <w:rFonts w:ascii="Arial" w:eastAsia="Batang" w:hAnsi="Arial" w:cs="Arial"/>
          <w:b/>
          <w:snapToGrid w:val="0"/>
          <w:sz w:val="24"/>
          <w:szCs w:val="24"/>
          <w:lang w:val="en-US"/>
        </w:rPr>
        <w:t>, Fraunhofer HHI</w:t>
      </w:r>
    </w:p>
    <w:p w:rsidR="00513B71" w:rsidRPr="00331E55" w:rsidRDefault="00513B71"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 xml:space="preserve">Title: </w:t>
      </w:r>
      <w:r w:rsidRPr="00331E55">
        <w:rPr>
          <w:rFonts w:ascii="Arial" w:eastAsia="Batang" w:hAnsi="Arial" w:cs="Arial"/>
          <w:b/>
          <w:snapToGrid w:val="0"/>
          <w:sz w:val="24"/>
          <w:szCs w:val="24"/>
          <w:lang w:val="en-US"/>
        </w:rPr>
        <w:tab/>
      </w:r>
      <w:r w:rsidR="002E37DF">
        <w:rPr>
          <w:rFonts w:ascii="Arial" w:eastAsia="Batang" w:hAnsi="Arial" w:cs="Arial"/>
          <w:b/>
          <w:snapToGrid w:val="0"/>
          <w:sz w:val="24"/>
          <w:szCs w:val="24"/>
          <w:lang w:val="en-US"/>
        </w:rPr>
        <w:t>UE-</w:t>
      </w:r>
      <w:r w:rsidR="00CE326B">
        <w:rPr>
          <w:rFonts w:ascii="Arial" w:eastAsia="Batang" w:hAnsi="Arial" w:cs="Arial"/>
          <w:b/>
          <w:snapToGrid w:val="0"/>
          <w:sz w:val="24"/>
          <w:szCs w:val="24"/>
          <w:lang w:val="en-US"/>
        </w:rPr>
        <w:t>Group Wake-Up Signal</w:t>
      </w:r>
    </w:p>
    <w:p w:rsidR="00513B71" w:rsidRPr="00331E55" w:rsidRDefault="00EA06DD" w:rsidP="00513B71">
      <w:pPr>
        <w:tabs>
          <w:tab w:val="left" w:pos="1843"/>
        </w:tabs>
        <w:snapToGrid w:val="0"/>
        <w:spacing w:after="0" w:line="360" w:lineRule="auto"/>
        <w:rPr>
          <w:rFonts w:ascii="Arial" w:eastAsia="Batang" w:hAnsi="Arial" w:cs="Arial"/>
          <w:b/>
          <w:snapToGrid w:val="0"/>
          <w:sz w:val="24"/>
          <w:szCs w:val="24"/>
          <w:lang w:val="en-US"/>
        </w:rPr>
      </w:pPr>
      <w:r w:rsidRPr="00331E55">
        <w:rPr>
          <w:rFonts w:ascii="Arial" w:eastAsia="Batang" w:hAnsi="Arial" w:cs="Arial"/>
          <w:b/>
          <w:snapToGrid w:val="0"/>
          <w:sz w:val="24"/>
          <w:szCs w:val="24"/>
          <w:lang w:val="en-US"/>
        </w:rPr>
        <w:t>Document for:</w:t>
      </w:r>
      <w:r w:rsidR="003457E6">
        <w:rPr>
          <w:rFonts w:ascii="Arial" w:eastAsia="Batang" w:hAnsi="Arial" w:cs="Arial"/>
          <w:b/>
          <w:snapToGrid w:val="0"/>
          <w:sz w:val="24"/>
          <w:szCs w:val="24"/>
          <w:lang w:val="en-US"/>
        </w:rPr>
        <w:tab/>
      </w:r>
      <w:r w:rsidR="00CE326B">
        <w:rPr>
          <w:rFonts w:ascii="Arial" w:eastAsia="Batang" w:hAnsi="Arial" w:cs="Arial"/>
          <w:b/>
          <w:snapToGrid w:val="0"/>
          <w:sz w:val="24"/>
          <w:szCs w:val="24"/>
          <w:lang w:val="en-US"/>
        </w:rPr>
        <w:t>Discussion</w:t>
      </w:r>
      <w:r w:rsidR="001C5C1A">
        <w:rPr>
          <w:rFonts w:ascii="Arial" w:eastAsia="Batang" w:hAnsi="Arial" w:cs="Arial"/>
          <w:b/>
          <w:snapToGrid w:val="0"/>
          <w:sz w:val="24"/>
          <w:szCs w:val="24"/>
          <w:lang w:val="en-US"/>
        </w:rPr>
        <w:t xml:space="preserve"> and decision</w:t>
      </w:r>
    </w:p>
    <w:p w:rsidR="00513B71" w:rsidRPr="00331E55" w:rsidRDefault="00513B71" w:rsidP="00AA384B">
      <w:pPr>
        <w:pStyle w:val="Heading1"/>
        <w:rPr>
          <w:rFonts w:eastAsia="Batang"/>
          <w:snapToGrid w:val="0"/>
          <w:lang w:val="en-US"/>
        </w:rPr>
      </w:pPr>
      <w:r w:rsidRPr="00331E55">
        <w:rPr>
          <w:rFonts w:eastAsia="Batang"/>
          <w:snapToGrid w:val="0"/>
          <w:lang w:val="en-US"/>
        </w:rPr>
        <w:t>Introduction</w:t>
      </w:r>
    </w:p>
    <w:p w:rsidR="008B4778" w:rsidRPr="008B4778" w:rsidRDefault="008B4778" w:rsidP="008B4778">
      <w:pPr>
        <w:jc w:val="both"/>
        <w:rPr>
          <w:rFonts w:eastAsia="Batang"/>
          <w:lang w:val="en-US" w:eastAsia="de-DE"/>
        </w:rPr>
      </w:pPr>
      <w:r w:rsidRPr="008B4778">
        <w:rPr>
          <w:rFonts w:eastAsia="Batang"/>
          <w:lang w:val="en-US" w:eastAsia="de-DE"/>
        </w:rPr>
        <w:t>At the RAN plenary #80, a new Work Item (WI) on “Rel-16 enhancements for NB-IoT” was approved</w:t>
      </w:r>
      <w:r w:rsidR="00F30AA8">
        <w:rPr>
          <w:rFonts w:eastAsia="Batang"/>
          <w:noProof/>
          <w:lang w:val="en-US" w:eastAsia="de-DE"/>
        </w:rPr>
        <w:t xml:space="preserve"> </w:t>
      </w:r>
      <w:sdt>
        <w:sdtPr>
          <w:rPr>
            <w:rFonts w:eastAsia="Batang"/>
            <w:noProof/>
            <w:lang w:val="en-US" w:eastAsia="de-DE"/>
          </w:rPr>
          <w:id w:val="1064289527"/>
          <w:citation/>
        </w:sdtPr>
        <w:sdtEndPr/>
        <w:sdtContent>
          <w:r w:rsidR="006C620C">
            <w:rPr>
              <w:rFonts w:eastAsia="Batang"/>
              <w:noProof/>
              <w:lang w:val="en-US" w:eastAsia="de-DE"/>
            </w:rPr>
            <w:fldChar w:fldCharType="begin"/>
          </w:r>
          <w:r w:rsidR="006C620C">
            <w:rPr>
              <w:rFonts w:eastAsia="Batang"/>
              <w:noProof/>
              <w:lang w:val="en-US" w:eastAsia="de-DE"/>
            </w:rPr>
            <w:instrText xml:space="preserve">CITATION RP181674 \l 1033 </w:instrText>
          </w:r>
          <w:r w:rsidR="006C620C">
            <w:rPr>
              <w:rFonts w:eastAsia="Batang"/>
              <w:noProof/>
              <w:lang w:val="en-US" w:eastAsia="de-DE"/>
            </w:rPr>
            <w:fldChar w:fldCharType="separate"/>
          </w:r>
          <w:r w:rsidR="001A3706" w:rsidRPr="001A3706">
            <w:rPr>
              <w:rFonts w:eastAsia="Batang"/>
              <w:noProof/>
              <w:lang w:val="en-US" w:eastAsia="de-DE"/>
            </w:rPr>
            <w:t>[1]</w:t>
          </w:r>
          <w:r w:rsidR="006C620C">
            <w:rPr>
              <w:rFonts w:eastAsia="Batang"/>
              <w:noProof/>
              <w:lang w:val="en-US" w:eastAsia="de-DE"/>
            </w:rPr>
            <w:fldChar w:fldCharType="end"/>
          </w:r>
        </w:sdtContent>
      </w:sdt>
      <w:r w:rsidR="006C620C">
        <w:rPr>
          <w:rFonts w:eastAsia="Batang"/>
          <w:noProof/>
          <w:lang w:val="en-US" w:eastAsia="de-DE"/>
        </w:rPr>
        <w:t xml:space="preserve">. </w:t>
      </w:r>
      <w:r w:rsidRPr="008B4778">
        <w:rPr>
          <w:rFonts w:eastAsia="Batang"/>
          <w:lang w:val="en-US" w:eastAsia="de-DE"/>
        </w:rPr>
        <w:t>The WID states that one objective is to specify the following improvement for machine-type communications for NB-IoT FDD:</w:t>
      </w:r>
    </w:p>
    <w:p w:rsidR="001A3706" w:rsidRDefault="008B4778" w:rsidP="001A3706">
      <w:pPr>
        <w:spacing w:after="0"/>
        <w:ind w:left="360"/>
        <w:rPr>
          <w:rFonts w:eastAsia="Batang"/>
          <w:lang w:val="en-US" w:eastAsia="de-DE"/>
        </w:rPr>
      </w:pPr>
      <w:r w:rsidRPr="001A3706">
        <w:rPr>
          <w:rFonts w:eastAsia="Batang"/>
          <w:lang w:val="en-US" w:eastAsia="de-DE"/>
        </w:rPr>
        <w:t>Improved DL transmission efficiency and/or UE power consumption:</w:t>
      </w:r>
    </w:p>
    <w:p w:rsidR="008B4778" w:rsidRPr="001A3706" w:rsidRDefault="008B4778" w:rsidP="001A3706">
      <w:pPr>
        <w:pStyle w:val="ListParagraph"/>
        <w:numPr>
          <w:ilvl w:val="0"/>
          <w:numId w:val="40"/>
        </w:numPr>
        <w:rPr>
          <w:rFonts w:eastAsia="Batang"/>
          <w:lang w:val="en-US" w:eastAsia="de-DE"/>
        </w:rPr>
      </w:pPr>
      <w:r w:rsidRPr="001A3706">
        <w:rPr>
          <w:rFonts w:eastAsia="Batang"/>
          <w:lang w:val="en-US" w:eastAsia="de-DE"/>
        </w:rPr>
        <w:t>Specify support for UE-group wake-up signal (WUS) [RAN1, RAN2, RAN4]</w:t>
      </w:r>
    </w:p>
    <w:p w:rsidR="00E2611F" w:rsidRDefault="00E2611F" w:rsidP="008B4778">
      <w:pPr>
        <w:jc w:val="both"/>
        <w:rPr>
          <w:rFonts w:eastAsia="Batang"/>
          <w:lang w:val="en-US" w:eastAsia="de-DE"/>
        </w:rPr>
      </w:pPr>
      <w:r>
        <w:rPr>
          <w:rFonts w:eastAsia="Batang"/>
          <w:lang w:val="en-US" w:eastAsia="de-DE"/>
        </w:rPr>
        <w:t xml:space="preserve">This Topic was already discussed in RAN1#94 and RAN1#94bis with considerable agreements </w:t>
      </w:r>
      <w:r w:rsidR="00E65229">
        <w:rPr>
          <w:rFonts w:eastAsia="Batang"/>
          <w:lang w:val="en-US" w:eastAsia="de-DE"/>
        </w:rPr>
        <w:t>for MTC and NB-IoT WUS</w:t>
      </w:r>
      <w:sdt>
        <w:sdtPr>
          <w:rPr>
            <w:rFonts w:eastAsia="Batang"/>
            <w:lang w:val="en-US" w:eastAsia="de-DE"/>
          </w:rPr>
          <w:id w:val="353925311"/>
          <w:citation/>
        </w:sdtPr>
        <w:sdtEndPr/>
        <w:sdtContent>
          <w:r w:rsidR="00E65229">
            <w:rPr>
              <w:rFonts w:eastAsia="Batang"/>
              <w:lang w:val="en-US" w:eastAsia="de-DE"/>
            </w:rPr>
            <w:fldChar w:fldCharType="begin"/>
          </w:r>
          <w:r w:rsidR="00E65229">
            <w:rPr>
              <w:rFonts w:eastAsia="Batang"/>
              <w:lang w:val="en-US" w:eastAsia="de-DE"/>
            </w:rPr>
            <w:instrText xml:space="preserve"> CITATION R11810051 \l 1033 </w:instrText>
          </w:r>
          <w:r w:rsidR="00E65229">
            <w:rPr>
              <w:rFonts w:eastAsia="Batang"/>
              <w:lang w:val="en-US" w:eastAsia="de-DE"/>
            </w:rPr>
            <w:fldChar w:fldCharType="separate"/>
          </w:r>
          <w:r w:rsidR="001A3706">
            <w:rPr>
              <w:rFonts w:eastAsia="Batang"/>
              <w:noProof/>
              <w:lang w:val="en-US" w:eastAsia="de-DE"/>
            </w:rPr>
            <w:t xml:space="preserve"> </w:t>
          </w:r>
          <w:r w:rsidR="001A3706" w:rsidRPr="001A3706">
            <w:rPr>
              <w:rFonts w:eastAsia="Batang"/>
              <w:noProof/>
              <w:lang w:val="en-US" w:eastAsia="de-DE"/>
            </w:rPr>
            <w:t>[2]</w:t>
          </w:r>
          <w:r w:rsidR="00E65229">
            <w:rPr>
              <w:rFonts w:eastAsia="Batang"/>
              <w:lang w:val="en-US" w:eastAsia="de-DE"/>
            </w:rPr>
            <w:fldChar w:fldCharType="end"/>
          </w:r>
        </w:sdtContent>
      </w:sdt>
      <w:r w:rsidR="00E65229">
        <w:rPr>
          <w:rFonts w:eastAsia="Batang"/>
          <w:lang w:val="en-US" w:eastAsia="de-DE"/>
        </w:rPr>
        <w:t>.</w:t>
      </w:r>
      <w:sdt>
        <w:sdtPr>
          <w:rPr>
            <w:rFonts w:eastAsia="Batang"/>
            <w:lang w:val="en-US" w:eastAsia="de-DE"/>
          </w:rPr>
          <w:id w:val="510272579"/>
          <w:citation/>
        </w:sdtPr>
        <w:sdtEndPr/>
        <w:sdtContent>
          <w:r>
            <w:rPr>
              <w:rFonts w:eastAsia="Batang"/>
              <w:lang w:val="en-US" w:eastAsia="de-DE"/>
            </w:rPr>
            <w:fldChar w:fldCharType="begin"/>
          </w:r>
          <w:r>
            <w:rPr>
              <w:rFonts w:eastAsia="Batang"/>
              <w:lang w:val="en-US" w:eastAsia="de-DE"/>
            </w:rPr>
            <w:instrText xml:space="preserve"> CITATION R11811658 \l 1033 </w:instrText>
          </w:r>
          <w:r>
            <w:rPr>
              <w:rFonts w:eastAsia="Batang"/>
              <w:lang w:val="en-US" w:eastAsia="de-DE"/>
            </w:rPr>
            <w:fldChar w:fldCharType="separate"/>
          </w:r>
          <w:r w:rsidR="001A3706">
            <w:rPr>
              <w:rFonts w:eastAsia="Batang"/>
              <w:noProof/>
              <w:lang w:val="en-US" w:eastAsia="de-DE"/>
            </w:rPr>
            <w:t xml:space="preserve"> </w:t>
          </w:r>
          <w:r w:rsidR="001A3706" w:rsidRPr="001A3706">
            <w:rPr>
              <w:rFonts w:eastAsia="Batang"/>
              <w:noProof/>
              <w:lang w:val="en-US" w:eastAsia="de-DE"/>
            </w:rPr>
            <w:t>[3]</w:t>
          </w:r>
          <w:r>
            <w:rPr>
              <w:rFonts w:eastAsia="Batang"/>
              <w:lang w:val="en-US" w:eastAsia="de-DE"/>
            </w:rPr>
            <w:fldChar w:fldCharType="end"/>
          </w:r>
        </w:sdtContent>
      </w:sdt>
      <w:sdt>
        <w:sdtPr>
          <w:rPr>
            <w:rFonts w:eastAsia="Batang"/>
            <w:lang w:val="en-US" w:eastAsia="de-DE"/>
          </w:rPr>
          <w:id w:val="-1305155393"/>
          <w:citation/>
        </w:sdtPr>
        <w:sdtEndPr/>
        <w:sdtContent>
          <w:r>
            <w:rPr>
              <w:rFonts w:eastAsia="Batang"/>
              <w:lang w:val="en-US" w:eastAsia="de-DE"/>
            </w:rPr>
            <w:fldChar w:fldCharType="begin"/>
          </w:r>
          <w:r>
            <w:rPr>
              <w:rFonts w:eastAsia="Batang"/>
              <w:lang w:val="en-US" w:eastAsia="de-DE"/>
            </w:rPr>
            <w:instrText xml:space="preserve"> CITATION R11811664 \l 1033 </w:instrText>
          </w:r>
          <w:r>
            <w:rPr>
              <w:rFonts w:eastAsia="Batang"/>
              <w:lang w:val="en-US" w:eastAsia="de-DE"/>
            </w:rPr>
            <w:fldChar w:fldCharType="separate"/>
          </w:r>
          <w:r w:rsidR="001A3706">
            <w:rPr>
              <w:rFonts w:eastAsia="Batang"/>
              <w:noProof/>
              <w:lang w:val="en-US" w:eastAsia="de-DE"/>
            </w:rPr>
            <w:t xml:space="preserve"> </w:t>
          </w:r>
          <w:r w:rsidR="001A3706" w:rsidRPr="001A3706">
            <w:rPr>
              <w:rFonts w:eastAsia="Batang"/>
              <w:noProof/>
              <w:lang w:val="en-US" w:eastAsia="de-DE"/>
            </w:rPr>
            <w:t>[4]</w:t>
          </w:r>
          <w:r>
            <w:rPr>
              <w:rFonts w:eastAsia="Batang"/>
              <w:lang w:val="en-US" w:eastAsia="de-DE"/>
            </w:rPr>
            <w:fldChar w:fldCharType="end"/>
          </w:r>
        </w:sdtContent>
      </w:sdt>
      <w:r w:rsidR="00E65229">
        <w:rPr>
          <w:rFonts w:eastAsia="Batang"/>
          <w:lang w:val="en-US" w:eastAsia="de-DE"/>
        </w:rPr>
        <w:t>.</w:t>
      </w:r>
    </w:p>
    <w:p w:rsidR="00E65229" w:rsidRDefault="00523108" w:rsidP="001A3706">
      <w:pPr>
        <w:rPr>
          <w:rFonts w:eastAsia="Batang"/>
          <w:lang w:val="en-US" w:eastAsia="de-DE"/>
        </w:rPr>
      </w:pPr>
      <w:r>
        <w:rPr>
          <w:rFonts w:eastAsia="Batang"/>
          <w:lang w:val="en-US" w:eastAsia="de-DE"/>
        </w:rPr>
        <w:t xml:space="preserve">At </w:t>
      </w:r>
      <w:r w:rsidR="00E65229">
        <w:rPr>
          <w:rFonts w:eastAsia="Batang"/>
          <w:lang w:val="en-US" w:eastAsia="de-DE"/>
        </w:rPr>
        <w:t xml:space="preserve">RAN2 #94bis </w:t>
      </w:r>
      <w:r>
        <w:rPr>
          <w:rFonts w:eastAsia="Batang"/>
          <w:lang w:val="en-US" w:eastAsia="de-DE"/>
        </w:rPr>
        <w:t xml:space="preserve">the </w:t>
      </w:r>
      <w:r w:rsidR="00E65229">
        <w:rPr>
          <w:rFonts w:eastAsia="Batang"/>
          <w:lang w:val="en-US" w:eastAsia="de-DE"/>
        </w:rPr>
        <w:t>following agreements</w:t>
      </w:r>
      <w:r>
        <w:rPr>
          <w:rFonts w:eastAsia="Batang"/>
          <w:lang w:val="en-US" w:eastAsia="de-DE"/>
        </w:rPr>
        <w:t xml:space="preserve"> have been made</w:t>
      </w:r>
      <w:r w:rsidR="00E65229">
        <w:rPr>
          <w:rFonts w:eastAsia="Batang"/>
          <w:lang w:val="en-US" w:eastAsia="de-DE"/>
        </w:rPr>
        <w:t>:</w:t>
      </w: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9063"/>
      </w:tblGrid>
      <w:tr w:rsidR="00523108" w:rsidRPr="001A3706" w:rsidTr="00523108">
        <w:tc>
          <w:tcPr>
            <w:tcW w:w="9063" w:type="dxa"/>
          </w:tcPr>
          <w:p w:rsidR="00523108" w:rsidRPr="001A3706" w:rsidRDefault="00523108" w:rsidP="00523108">
            <w:pPr>
              <w:pStyle w:val="Agreement"/>
              <w:rPr>
                <w:sz w:val="14"/>
                <w:lang w:val="en-US"/>
              </w:rPr>
            </w:pPr>
            <w:r w:rsidRPr="001A3706">
              <w:rPr>
                <w:sz w:val="14"/>
                <w:lang w:eastAsia="en-US"/>
              </w:rPr>
              <w:t>The aim of UE grouping for WUS is reducing the false alarm probability.</w:t>
            </w:r>
          </w:p>
          <w:p w:rsidR="00523108" w:rsidRPr="001A3706" w:rsidRDefault="00523108" w:rsidP="00523108">
            <w:pPr>
              <w:pStyle w:val="Agreement"/>
              <w:rPr>
                <w:sz w:val="14"/>
              </w:rPr>
            </w:pPr>
            <w:r w:rsidRPr="001A3706">
              <w:rPr>
                <w:sz w:val="14"/>
              </w:rPr>
              <w:t>At least UE_ID based grouping is supported for UE-Group based WUS. This doesn’t exclude other options.</w:t>
            </w:r>
          </w:p>
          <w:p w:rsidR="00523108" w:rsidRPr="001A3706" w:rsidRDefault="00523108" w:rsidP="00523108">
            <w:pPr>
              <w:pStyle w:val="Agreement"/>
              <w:rPr>
                <w:sz w:val="14"/>
              </w:rPr>
            </w:pPr>
            <w:r w:rsidRPr="001A3706">
              <w:rPr>
                <w:sz w:val="14"/>
              </w:rPr>
              <w:t>Further discuss whether the following are supported:</w:t>
            </w:r>
          </w:p>
          <w:p w:rsidR="00523108" w:rsidRPr="001A3706" w:rsidRDefault="00523108" w:rsidP="00523108">
            <w:pPr>
              <w:pStyle w:val="Agreement"/>
              <w:numPr>
                <w:ilvl w:val="2"/>
                <w:numId w:val="38"/>
              </w:numPr>
              <w:rPr>
                <w:sz w:val="14"/>
              </w:rPr>
            </w:pPr>
            <w:r w:rsidRPr="001A3706">
              <w:rPr>
                <w:sz w:val="14"/>
              </w:rPr>
              <w:t xml:space="preserve">Service based grouping </w:t>
            </w:r>
          </w:p>
          <w:p w:rsidR="00523108" w:rsidRPr="001A3706" w:rsidRDefault="00523108" w:rsidP="00523108">
            <w:pPr>
              <w:pStyle w:val="Agreement"/>
              <w:numPr>
                <w:ilvl w:val="2"/>
                <w:numId w:val="38"/>
              </w:numPr>
              <w:rPr>
                <w:sz w:val="14"/>
                <w:lang w:val="en-US"/>
              </w:rPr>
            </w:pPr>
            <w:r w:rsidRPr="001A3706">
              <w:rPr>
                <w:sz w:val="14"/>
                <w:lang w:val="en-US"/>
              </w:rPr>
              <w:t xml:space="preserve">DRX/eDRX based grouping </w:t>
            </w:r>
          </w:p>
          <w:p w:rsidR="00523108" w:rsidRPr="001A3706" w:rsidRDefault="00523108" w:rsidP="00523108">
            <w:pPr>
              <w:pStyle w:val="Agreement"/>
              <w:numPr>
                <w:ilvl w:val="2"/>
                <w:numId w:val="38"/>
              </w:numPr>
              <w:rPr>
                <w:sz w:val="14"/>
                <w:lang w:val="en-US"/>
              </w:rPr>
            </w:pPr>
            <w:r w:rsidRPr="001A3706">
              <w:rPr>
                <w:sz w:val="14"/>
                <w:lang w:val="en-US"/>
              </w:rPr>
              <w:t xml:space="preserve">Gap based grouping. </w:t>
            </w:r>
          </w:p>
          <w:p w:rsidR="00523108" w:rsidRPr="001A3706" w:rsidRDefault="00523108" w:rsidP="00523108">
            <w:pPr>
              <w:pStyle w:val="Agreement"/>
              <w:numPr>
                <w:ilvl w:val="2"/>
                <w:numId w:val="38"/>
              </w:numPr>
              <w:rPr>
                <w:sz w:val="14"/>
                <w:lang w:val="en-US"/>
              </w:rPr>
            </w:pPr>
            <w:r w:rsidRPr="001A3706">
              <w:rPr>
                <w:sz w:val="14"/>
                <w:lang w:val="en-US"/>
              </w:rPr>
              <w:t>Coverage based grouping</w:t>
            </w:r>
          </w:p>
        </w:tc>
      </w:tr>
    </w:tbl>
    <w:p w:rsidR="00523108" w:rsidRDefault="00523108" w:rsidP="006E2C1F">
      <w:pPr>
        <w:jc w:val="both"/>
        <w:rPr>
          <w:rFonts w:eastAsia="Batang"/>
          <w:lang w:val="en-US" w:eastAsia="de-DE"/>
        </w:rPr>
      </w:pPr>
    </w:p>
    <w:p w:rsidR="006E2C1F" w:rsidRDefault="006E2C1F" w:rsidP="006E2C1F">
      <w:pPr>
        <w:jc w:val="both"/>
        <w:rPr>
          <w:rFonts w:eastAsia="Batang"/>
          <w:lang w:val="en-US" w:eastAsia="de-DE"/>
        </w:rPr>
      </w:pPr>
      <w:r>
        <w:rPr>
          <w:rFonts w:eastAsia="Batang"/>
          <w:lang w:val="en-US" w:eastAsia="de-DE"/>
        </w:rPr>
        <w:t xml:space="preserve">In this contribution we focus on the topic of UE-group WUS for </w:t>
      </w:r>
      <w:r w:rsidRPr="00BF6896">
        <w:rPr>
          <w:rFonts w:eastAsia="Batang"/>
          <w:lang w:val="en-US" w:eastAsia="de-DE"/>
        </w:rPr>
        <w:t>NB-IoT</w:t>
      </w:r>
      <w:r w:rsidR="001C5C1A" w:rsidRPr="00BF6896">
        <w:rPr>
          <w:rFonts w:eastAsia="Batang"/>
          <w:lang w:val="en-US" w:eastAsia="de-DE"/>
        </w:rPr>
        <w:t xml:space="preserve"> and MTC</w:t>
      </w:r>
      <w:r w:rsidRPr="00BF6896">
        <w:rPr>
          <w:rFonts w:eastAsia="Batang"/>
          <w:lang w:val="en-US" w:eastAsia="de-DE"/>
        </w:rPr>
        <w:t>.</w:t>
      </w:r>
    </w:p>
    <w:p w:rsidR="00523108" w:rsidRPr="007F0709" w:rsidRDefault="00523108" w:rsidP="007F0709">
      <w:pPr>
        <w:pStyle w:val="Heading1"/>
        <w:jc w:val="both"/>
        <w:rPr>
          <w:rFonts w:eastAsia="Batang"/>
          <w:lang w:val="en-US"/>
        </w:rPr>
      </w:pPr>
      <w:r>
        <w:rPr>
          <w:rFonts w:eastAsia="Batang"/>
          <w:lang w:val="en-US"/>
        </w:rPr>
        <w:t>Discussion</w:t>
      </w:r>
    </w:p>
    <w:p w:rsidR="00B47AE0" w:rsidRDefault="00B47AE0" w:rsidP="00704222">
      <w:pPr>
        <w:rPr>
          <w:rFonts w:eastAsia="SimSun"/>
          <w:lang w:val="en-US"/>
        </w:rPr>
      </w:pPr>
      <w:r w:rsidRPr="00B47AE0">
        <w:rPr>
          <w:rFonts w:eastAsia="SimSun"/>
          <w:lang w:val="en-US"/>
        </w:rPr>
        <w:t xml:space="preserve">Rel-15 introduced </w:t>
      </w:r>
      <w:r>
        <w:rPr>
          <w:rFonts w:eastAsia="SimSun"/>
          <w:lang w:val="en-US"/>
        </w:rPr>
        <w:t>a wake-up signal to trigger UEs tha</w:t>
      </w:r>
      <w:r w:rsidR="00500E5C">
        <w:rPr>
          <w:rFonts w:eastAsia="SimSun"/>
          <w:lang w:val="en-US"/>
        </w:rPr>
        <w:t>t will be paged in the next PO. A Rel-15 WUS wakes up every UE for that PO, even UEs that will not be paged in this PO.</w:t>
      </w:r>
    </w:p>
    <w:p w:rsidR="001A3706" w:rsidRPr="001A3706" w:rsidRDefault="00500E5C" w:rsidP="001A3706">
      <w:pPr>
        <w:rPr>
          <w:rFonts w:eastAsia="SimSun"/>
          <w:lang w:val="en-US"/>
        </w:rPr>
      </w:pPr>
      <w:r>
        <w:rPr>
          <w:rFonts w:eastAsia="SimSun"/>
          <w:lang w:val="en-US"/>
        </w:rPr>
        <w:t xml:space="preserve">By further dividing the the UEs into Rel-16 groups, the probability of false wake-ups can be decreased and false alarm rate of the paged UEs can be further decreased. The Rel-16 WUS shall enable a sub-grouping within a PO to reduce the false alarm rate and reduce the unnecessary wake-up of UEs that will not be paged. </w:t>
      </w:r>
    </w:p>
    <w:p w:rsidR="00523108" w:rsidRDefault="00523108" w:rsidP="001A3706">
      <w:pPr>
        <w:pStyle w:val="Heading2"/>
      </w:pPr>
      <w:bookmarkStart w:id="0" w:name="_Ref528786593"/>
      <w:r>
        <w:t xml:space="preserve">Number of </w:t>
      </w:r>
      <w:r w:rsidR="00F44264">
        <w:t>g</w:t>
      </w:r>
      <w:r>
        <w:t>roups</w:t>
      </w:r>
      <w:r w:rsidR="00F44264">
        <w:t xml:space="preserve"> in</w:t>
      </w:r>
      <w:r w:rsidR="007F0709">
        <w:t xml:space="preserve"> Rel-16 WU</w:t>
      </w:r>
      <w:r w:rsidR="00864885">
        <w:t>S</w:t>
      </w:r>
      <w:bookmarkEnd w:id="0"/>
    </w:p>
    <w:p w:rsidR="00864885" w:rsidRDefault="00704222" w:rsidP="00704222">
      <w:pPr>
        <w:rPr>
          <w:lang w:val="en-US"/>
        </w:rPr>
      </w:pPr>
      <w:r w:rsidRPr="00704222">
        <w:rPr>
          <w:lang w:val="en-US"/>
        </w:rPr>
        <w:t>Unt</w:t>
      </w:r>
      <w:r>
        <w:rPr>
          <w:lang w:val="en-US"/>
        </w:rPr>
        <w:t xml:space="preserve">il now there is no agreement </w:t>
      </w:r>
      <w:r w:rsidR="00781589">
        <w:rPr>
          <w:lang w:val="en-US"/>
        </w:rPr>
        <w:t>on</w:t>
      </w:r>
      <w:r>
        <w:rPr>
          <w:lang w:val="en-US"/>
        </w:rPr>
        <w:t xml:space="preserve"> the supported number of groups for Rel-16 WUS. In RAN1 companies proposed numbers between 1 and 4</w:t>
      </w:r>
      <w:r w:rsidR="00781589">
        <w:rPr>
          <w:lang w:val="en-US"/>
        </w:rPr>
        <w:t xml:space="preserve"> (8?)</w:t>
      </w:r>
      <w:r>
        <w:rPr>
          <w:lang w:val="en-US"/>
        </w:rPr>
        <w:t>, some including a common group</w:t>
      </w:r>
      <w:r w:rsidR="00781589">
        <w:rPr>
          <w:lang w:val="en-US"/>
        </w:rPr>
        <w:t>, other not</w:t>
      </w:r>
      <w:r>
        <w:rPr>
          <w:lang w:val="en-US"/>
        </w:rPr>
        <w:t xml:space="preserve">. Regarding the false-alarm rate, a higher number of groups is </w:t>
      </w:r>
      <w:r w:rsidR="00DF15A8">
        <w:rPr>
          <w:lang w:val="en-US"/>
        </w:rPr>
        <w:t xml:space="preserve">considered </w:t>
      </w:r>
      <w:r>
        <w:rPr>
          <w:lang w:val="en-US"/>
        </w:rPr>
        <w:t xml:space="preserve">beneficial. To reduce the complexity of the WUS sequence, a 2-step approach consisting of two Rel-16 WUS </w:t>
      </w:r>
      <w:r w:rsidR="00864885" w:rsidRPr="00704222">
        <w:rPr>
          <w:lang w:val="en-US"/>
        </w:rPr>
        <w:t xml:space="preserve">with CDM WUS sequence for each step allows sub-grouping and fine </w:t>
      </w:r>
      <w:r w:rsidR="00B224E0">
        <w:rPr>
          <w:lang w:val="en-US"/>
        </w:rPr>
        <w:t>granular wake-up functionality is proposed with each step enabling a total of 4 groups/sub-groups.</w:t>
      </w:r>
      <w:bookmarkStart w:id="1" w:name="_GoBack"/>
      <w:bookmarkEnd w:id="1"/>
    </w:p>
    <w:p w:rsidR="00864885" w:rsidRPr="00864885" w:rsidRDefault="00864885" w:rsidP="00864885">
      <w:pPr>
        <w:pStyle w:val="TDocProposal"/>
        <w:rPr>
          <w:lang w:eastAsia="x-none"/>
        </w:rPr>
      </w:pPr>
      <w:bookmarkStart w:id="2" w:name="_Toc528769131"/>
      <w:bookmarkStart w:id="3" w:name="_Toc528786721"/>
      <w:bookmarkStart w:id="4" w:name="_Toc528787409"/>
      <w:bookmarkStart w:id="5" w:name="_Toc528787475"/>
      <w:r>
        <w:lastRenderedPageBreak/>
        <w:t>The Rel-16 part of the WUS supports a minimum of 4 different sequences (=subgroups) per</w:t>
      </w:r>
      <w:bookmarkEnd w:id="2"/>
      <w:bookmarkEnd w:id="3"/>
      <w:r w:rsidR="00A80C54">
        <w:t xml:space="preserve"> step.</w:t>
      </w:r>
      <w:bookmarkEnd w:id="4"/>
      <w:bookmarkEnd w:id="5"/>
    </w:p>
    <w:p w:rsidR="00F44264" w:rsidRDefault="00607374" w:rsidP="001A3706">
      <w:pPr>
        <w:pStyle w:val="Heading2"/>
      </w:pPr>
      <w:r>
        <w:t>Criteria</w:t>
      </w:r>
      <w:r w:rsidR="00F44264">
        <w:t xml:space="preserve"> for grouping</w:t>
      </w:r>
    </w:p>
    <w:p w:rsidR="00704222" w:rsidRDefault="00704222" w:rsidP="00864885">
      <w:pPr>
        <w:rPr>
          <w:lang w:val="en-US" w:eastAsia="x-none"/>
        </w:rPr>
      </w:pPr>
      <w:r w:rsidRPr="00B51475">
        <w:rPr>
          <w:lang w:val="en-US" w:eastAsia="x-none"/>
        </w:rPr>
        <w:t>During RAN2 #</w:t>
      </w:r>
      <w:r w:rsidR="00B51475">
        <w:rPr>
          <w:lang w:val="en-US" w:eastAsia="x-none"/>
        </w:rPr>
        <w:t>103bis the agreement was made that at least UE_ID base</w:t>
      </w:r>
      <w:r w:rsidR="00B224E0">
        <w:rPr>
          <w:lang w:val="en-US" w:eastAsia="x-none"/>
        </w:rPr>
        <w:t>d</w:t>
      </w:r>
      <w:r w:rsidR="00B51475">
        <w:rPr>
          <w:lang w:val="en-US" w:eastAsia="x-none"/>
        </w:rPr>
        <w:t xml:space="preserve"> </w:t>
      </w:r>
      <w:r w:rsidR="008D64C4">
        <w:rPr>
          <w:lang w:val="en-US" w:eastAsia="x-none"/>
        </w:rPr>
        <w:t>grouping is supported.</w:t>
      </w:r>
      <w:r w:rsidR="00607374">
        <w:rPr>
          <w:lang w:val="en-US" w:eastAsia="x-none"/>
        </w:rPr>
        <w:t xml:space="preserve"> A second option for engrouping </w:t>
      </w:r>
      <w:r w:rsidR="00B224E0">
        <w:rPr>
          <w:lang w:val="en-US" w:eastAsia="x-none"/>
        </w:rPr>
        <w:t>is considered, but not agreed yet. An additional criteria for grouping could be a service ID that reflects i.e. the requirements for updates or energy restriction.</w:t>
      </w:r>
    </w:p>
    <w:p w:rsidR="00864885" w:rsidRDefault="00864885" w:rsidP="00864885">
      <w:pPr>
        <w:pStyle w:val="TDocProposal"/>
      </w:pPr>
      <w:bookmarkStart w:id="6" w:name="_Toc528666171"/>
      <w:bookmarkStart w:id="7" w:name="_Toc528666202"/>
      <w:bookmarkStart w:id="8" w:name="_Toc528666258"/>
      <w:bookmarkStart w:id="9" w:name="_Toc528676618"/>
      <w:bookmarkStart w:id="10" w:name="_Toc528676766"/>
      <w:bookmarkStart w:id="11" w:name="_Toc528769132"/>
      <w:bookmarkStart w:id="12" w:name="_Toc528786722"/>
      <w:bookmarkStart w:id="13" w:name="_Toc528787410"/>
      <w:bookmarkStart w:id="14" w:name="_Toc528787476"/>
      <w:r w:rsidRPr="00DD670A">
        <w:t>The UE-grouping is based on the UE ID. A service ID might be used for a second level of differentiation.</w:t>
      </w:r>
      <w:bookmarkEnd w:id="6"/>
      <w:bookmarkEnd w:id="7"/>
      <w:bookmarkEnd w:id="8"/>
      <w:bookmarkEnd w:id="9"/>
      <w:bookmarkEnd w:id="10"/>
      <w:bookmarkEnd w:id="11"/>
      <w:bookmarkEnd w:id="12"/>
      <w:bookmarkEnd w:id="13"/>
      <w:bookmarkEnd w:id="14"/>
    </w:p>
    <w:p w:rsidR="00B224E0" w:rsidRPr="00B224E0" w:rsidRDefault="00B224E0" w:rsidP="00B224E0">
      <w:pPr>
        <w:pStyle w:val="TDocProposal"/>
      </w:pPr>
      <w:bookmarkStart w:id="15" w:name="_Toc528786723"/>
      <w:bookmarkStart w:id="16" w:name="_Toc528787411"/>
      <w:bookmarkStart w:id="17" w:name="_Toc528787477"/>
      <w:r>
        <w:t>Coverage is not considered as a grouping feature.</w:t>
      </w:r>
      <w:bookmarkEnd w:id="15"/>
      <w:bookmarkEnd w:id="16"/>
      <w:bookmarkEnd w:id="17"/>
    </w:p>
    <w:p w:rsidR="00523108" w:rsidRDefault="00F44264" w:rsidP="001A3706">
      <w:pPr>
        <w:pStyle w:val="Heading2"/>
        <w:rPr>
          <w:rFonts w:eastAsia="Batang"/>
        </w:rPr>
      </w:pPr>
      <w:r>
        <w:rPr>
          <w:rFonts w:eastAsia="Batang"/>
        </w:rPr>
        <w:t>Coexistance of Rel-16 WUS with Rel-15 legacy WUS</w:t>
      </w:r>
    </w:p>
    <w:p w:rsidR="001B5627" w:rsidRPr="006E2B44" w:rsidRDefault="001B5627" w:rsidP="001B5627">
      <w:pPr>
        <w:rPr>
          <w:lang w:val="en-US"/>
        </w:rPr>
      </w:pPr>
      <w:r>
        <w:rPr>
          <w:lang w:val="en-US"/>
        </w:rPr>
        <w:t>The ag</w:t>
      </w:r>
      <w:r w:rsidR="001A3706">
        <w:rPr>
          <w:lang w:val="en-US"/>
        </w:rPr>
        <w:t xml:space="preserve">reements from RAN1#94bis state </w:t>
      </w:r>
      <w:r>
        <w:rPr>
          <w:lang w:val="en-US"/>
        </w:rPr>
        <w:t>that Rel-16 capable UEs shall also be capable of Rel-15 WUS. Whether Rel-15 WUS is a fallback for Rel-16 WUS in case Rel-16 WUS is not enabled in the cell or whether Rel-16 UEs shall also receive Rel-15 WUS even i</w:t>
      </w:r>
      <w:r w:rsidR="00B224E0">
        <w:rPr>
          <w:lang w:val="en-US"/>
        </w:rPr>
        <w:t>f</w:t>
      </w:r>
      <w:r>
        <w:rPr>
          <w:lang w:val="en-US"/>
        </w:rPr>
        <w:t xml:space="preserve"> Rel-16 WUS is active is not defined yet.</w:t>
      </w:r>
    </w:p>
    <w:p w:rsidR="001B5627" w:rsidRDefault="001B5627" w:rsidP="001B5627">
      <w:pPr>
        <w:rPr>
          <w:lang w:val="en-US"/>
        </w:rPr>
      </w:pPr>
      <w:r>
        <w:rPr>
          <w:lang w:val="en-US"/>
        </w:rPr>
        <w:t>This opens the possibility to use Rel-15 WUS as a wake-up beacon for Rel-16 grouping WUS feature. The impact of Rel-15 WUS as a beacon for Rel-16 UEs should be considered carefully.</w:t>
      </w:r>
    </w:p>
    <w:p w:rsidR="00B224E0" w:rsidRPr="00B224E0" w:rsidRDefault="00B224E0" w:rsidP="00B224E0">
      <w:pPr>
        <w:rPr>
          <w:rFonts w:eastAsia="Batang"/>
          <w:lang w:val="en-US"/>
        </w:rPr>
      </w:pPr>
      <w:r>
        <w:rPr>
          <w:rFonts w:eastAsia="Batang"/>
          <w:lang w:val="en-US"/>
        </w:rPr>
        <w:t>Having Rel-15 WUS as a super-group in addition to Rel-16 devices would ease the backward compatibility but may impact other Rel-15 devices due to a higher number of wake-ups.</w:t>
      </w:r>
    </w:p>
    <w:p w:rsidR="001B5627" w:rsidRDefault="001B5627" w:rsidP="001B5627">
      <w:pPr>
        <w:pStyle w:val="TDocProposal"/>
      </w:pPr>
      <w:bookmarkStart w:id="18" w:name="_Toc528769133"/>
      <w:bookmarkStart w:id="19" w:name="_Toc528786724"/>
      <w:bookmarkStart w:id="20" w:name="_Toc528787412"/>
      <w:bookmarkStart w:id="21" w:name="_Toc528787478"/>
      <w:r>
        <w:t>The Rel-15 behavior of Rel-16 UEs should be further studied.</w:t>
      </w:r>
      <w:bookmarkEnd w:id="18"/>
      <w:bookmarkEnd w:id="19"/>
      <w:bookmarkEnd w:id="20"/>
      <w:bookmarkEnd w:id="21"/>
    </w:p>
    <w:p w:rsidR="00F44264" w:rsidRDefault="00F44264" w:rsidP="001A3706">
      <w:pPr>
        <w:pStyle w:val="Heading2"/>
        <w:rPr>
          <w:rFonts w:eastAsia="Batang"/>
          <w:lang w:val="en-US"/>
        </w:rPr>
      </w:pPr>
      <w:r w:rsidRPr="001A3706">
        <w:rPr>
          <w:rFonts w:eastAsia="Batang"/>
        </w:rPr>
        <w:t>Sub</w:t>
      </w:r>
      <w:r>
        <w:rPr>
          <w:rFonts w:eastAsia="Batang"/>
          <w:lang w:val="en-US"/>
        </w:rPr>
        <w:t>-grouping for Rel-16 WUS</w:t>
      </w:r>
    </w:p>
    <w:p w:rsidR="001B5627" w:rsidRDefault="00B224E0" w:rsidP="001B5627">
      <w:pPr>
        <w:rPr>
          <w:lang w:val="en-US"/>
        </w:rPr>
      </w:pPr>
      <w:r>
        <w:rPr>
          <w:lang w:val="en-US"/>
        </w:rPr>
        <w:t xml:space="preserve">As mentioned in </w:t>
      </w:r>
      <w:r>
        <w:rPr>
          <w:lang w:val="en-US"/>
        </w:rPr>
        <w:fldChar w:fldCharType="begin"/>
      </w:r>
      <w:r>
        <w:rPr>
          <w:lang w:val="en-US"/>
        </w:rPr>
        <w:instrText xml:space="preserve"> REF _Ref528786593 \r \h </w:instrText>
      </w:r>
      <w:r>
        <w:rPr>
          <w:lang w:val="en-US"/>
        </w:rPr>
      </w:r>
      <w:r>
        <w:rPr>
          <w:lang w:val="en-US"/>
        </w:rPr>
        <w:fldChar w:fldCharType="separate"/>
      </w:r>
      <w:r>
        <w:rPr>
          <w:lang w:val="en-US"/>
        </w:rPr>
        <w:t>2.1.1</w:t>
      </w:r>
      <w:r>
        <w:rPr>
          <w:lang w:val="en-US"/>
        </w:rPr>
        <w:fldChar w:fldCharType="end"/>
      </w:r>
      <w:r>
        <w:rPr>
          <w:lang w:val="en-US"/>
        </w:rPr>
        <w:t>, a</w:t>
      </w:r>
      <w:r w:rsidR="001B5627">
        <w:rPr>
          <w:lang w:val="en-US"/>
        </w:rPr>
        <w:t xml:space="preserve"> higher number of subgroups reduces the probability of unnecessary wake-ups. The number of groups is still FFS</w:t>
      </w:r>
      <w:r>
        <w:rPr>
          <w:lang w:val="en-US"/>
        </w:rPr>
        <w:t xml:space="preserve"> in RAN1</w:t>
      </w:r>
      <w:r w:rsidR="001B5627">
        <w:rPr>
          <w:lang w:val="en-US"/>
        </w:rPr>
        <w:t>. Considering the complexity of the WUS and the advantages of a reasonable number of groups, a 2-step approach with sub-groups is a well-suited solution.</w:t>
      </w:r>
    </w:p>
    <w:p w:rsidR="001B5627" w:rsidRDefault="001B5627" w:rsidP="001B5627">
      <w:pPr>
        <w:rPr>
          <w:lang w:val="en-US"/>
        </w:rPr>
      </w:pPr>
      <w:r>
        <w:rPr>
          <w:lang w:val="en-US"/>
        </w:rPr>
        <w:t>The Rel-16 WUS can therefore introduce a 2-step addressing scheme for sub-grouping that consists of</w:t>
      </w:r>
    </w:p>
    <w:p w:rsidR="001B5627" w:rsidRPr="00A94B15" w:rsidRDefault="001B5627" w:rsidP="001B5627">
      <w:pPr>
        <w:pStyle w:val="ListParagraph"/>
        <w:numPr>
          <w:ilvl w:val="0"/>
          <w:numId w:val="29"/>
        </w:numPr>
        <w:rPr>
          <w:lang w:val="en-US"/>
        </w:rPr>
      </w:pPr>
      <w:r w:rsidRPr="00A94B15">
        <w:rPr>
          <w:lang w:val="en-US"/>
        </w:rPr>
        <w:t>A: Rel-15</w:t>
      </w:r>
      <w:r w:rsidR="00B224E0">
        <w:rPr>
          <w:lang w:val="en-US"/>
        </w:rPr>
        <w:t>(or 15/16)</w:t>
      </w:r>
      <w:r w:rsidRPr="00A94B15">
        <w:rPr>
          <w:lang w:val="en-US"/>
        </w:rPr>
        <w:t xml:space="preserve"> WUS + Rel-16 CDM WUS for sub-groups</w:t>
      </w:r>
      <w:r w:rsidR="00B224E0">
        <w:rPr>
          <w:lang w:val="en-US"/>
        </w:rPr>
        <w:t xml:space="preserve"> or</w:t>
      </w:r>
    </w:p>
    <w:p w:rsidR="001B5627" w:rsidRPr="00A94B15" w:rsidRDefault="001B5627" w:rsidP="001B5627">
      <w:pPr>
        <w:pStyle w:val="ListParagraph"/>
        <w:numPr>
          <w:ilvl w:val="0"/>
          <w:numId w:val="29"/>
        </w:numPr>
        <w:rPr>
          <w:lang w:val="en-US"/>
        </w:rPr>
      </w:pPr>
      <w:r w:rsidRPr="00A94B15">
        <w:rPr>
          <w:lang w:val="en-US"/>
        </w:rPr>
        <w:t>B: Rel-16 CDM WUS + 2</w:t>
      </w:r>
      <w:r w:rsidRPr="00A94B15">
        <w:rPr>
          <w:vertAlign w:val="superscript"/>
          <w:lang w:val="en-US"/>
        </w:rPr>
        <w:t>nd</w:t>
      </w:r>
      <w:r w:rsidRPr="00A94B15">
        <w:rPr>
          <w:lang w:val="en-US"/>
        </w:rPr>
        <w:t xml:space="preserve"> Rel-16 CDM WUS for sub-sub-groups</w:t>
      </w:r>
    </w:p>
    <w:p w:rsidR="001B5627" w:rsidRDefault="00B224E0" w:rsidP="001B5627">
      <w:pPr>
        <w:rPr>
          <w:lang w:val="en-US"/>
        </w:rPr>
      </w:pPr>
      <w:r>
        <w:rPr>
          <w:lang w:val="en-US"/>
        </w:rPr>
        <w:t>Each</w:t>
      </w:r>
      <w:r w:rsidR="001B5627">
        <w:rPr>
          <w:lang w:val="en-US"/>
        </w:rPr>
        <w:t xml:space="preserve"> WUS needs to support only a small number of (sub-)groups and therefore reduces the necessary complexity of the WUS receiver.</w:t>
      </w:r>
    </w:p>
    <w:p w:rsidR="001B5627" w:rsidRDefault="001B5627" w:rsidP="001B5627">
      <w:pPr>
        <w:pStyle w:val="TDocProposal"/>
      </w:pPr>
      <w:bookmarkStart w:id="22" w:name="_Toc528769134"/>
      <w:bookmarkStart w:id="23" w:name="_Toc528786725"/>
      <w:bookmarkStart w:id="24" w:name="_Toc528787413"/>
      <w:bookmarkStart w:id="25" w:name="_Toc528787479"/>
      <w:r>
        <w:t>Rel-16 WUS uses a 2-step addressing for sub-groups.</w:t>
      </w:r>
      <w:bookmarkEnd w:id="22"/>
      <w:bookmarkEnd w:id="23"/>
      <w:bookmarkEnd w:id="24"/>
      <w:bookmarkEnd w:id="25"/>
    </w:p>
    <w:p w:rsidR="001B5627" w:rsidRDefault="001B5627" w:rsidP="001B5627">
      <w:pPr>
        <w:rPr>
          <w:lang w:val="en-US"/>
        </w:rPr>
      </w:pPr>
      <w:r w:rsidRPr="004F48AF">
        <w:rPr>
          <w:lang w:val="en-US"/>
        </w:rPr>
        <w:t>The Rel-15 WUS can either be ignored (Option B) or can be used as an initial beacon (Option A). In both cases, subgrouping for Rel-16 UEs is possible. Option B does not use the Rel-15 WUS but uses a dedicated Rel-16 CDM WUS sequence as a first beacon and a second one for sub-grouping. This option allows for a fine granular addressing of UE-groups and can even be used to differentiate between “groupcast” and “unicast” if found beneficial.</w:t>
      </w:r>
    </w:p>
    <w:p w:rsidR="001A3706" w:rsidRDefault="001A3706" w:rsidP="001A3706">
      <w:pPr>
        <w:rPr>
          <w:lang w:val="en-US"/>
        </w:rPr>
      </w:pPr>
      <w:r>
        <w:rPr>
          <w:noProof/>
          <w:lang w:val="en-US" w:eastAsia="en-US"/>
        </w:rPr>
        <w:drawing>
          <wp:inline distT="0" distB="0" distL="0" distR="0" wp14:anchorId="20CD912C" wp14:editId="09471B28">
            <wp:extent cx="4964765" cy="1655936"/>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jn\AppData\Local\Microsoft\Windows\INetCache\Content.Word\Subgroup Addr with Beacon.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964765" cy="1655936"/>
                    </a:xfrm>
                    <a:prstGeom prst="rect">
                      <a:avLst/>
                    </a:prstGeom>
                    <a:noFill/>
                    <a:ln>
                      <a:noFill/>
                    </a:ln>
                  </pic:spPr>
                </pic:pic>
              </a:graphicData>
            </a:graphic>
          </wp:inline>
        </w:drawing>
      </w:r>
    </w:p>
    <w:p w:rsidR="001A3706" w:rsidRPr="00DC6419" w:rsidRDefault="001A3706" w:rsidP="001A3706">
      <w:pPr>
        <w:pStyle w:val="Caption"/>
      </w:pPr>
      <w:r w:rsidRPr="004F48AF">
        <w:lastRenderedPageBreak/>
        <w:t xml:space="preserve">Figure </w:t>
      </w:r>
      <w:r w:rsidRPr="004F48AF">
        <w:fldChar w:fldCharType="begin"/>
      </w:r>
      <w:r w:rsidRPr="004F48AF">
        <w:instrText xml:space="preserve"> SEQ Figure \* ARABIC </w:instrText>
      </w:r>
      <w:r w:rsidRPr="004F48AF">
        <w:fldChar w:fldCharType="separate"/>
      </w:r>
      <w:r w:rsidRPr="004F48AF">
        <w:rPr>
          <w:noProof/>
        </w:rPr>
        <w:t>1</w:t>
      </w:r>
      <w:r w:rsidRPr="004F48AF">
        <w:fldChar w:fldCharType="end"/>
      </w:r>
      <w:r w:rsidRPr="004F48AF">
        <w:t xml:space="preserve"> – Rel-15 WUS with REL-16 WUS subgrouping – Option A</w:t>
      </w:r>
    </w:p>
    <w:p w:rsidR="001B5627" w:rsidRDefault="001B5627" w:rsidP="001B5627">
      <w:pPr>
        <w:rPr>
          <w:lang w:val="en-US"/>
        </w:rPr>
      </w:pPr>
      <w:r>
        <w:rPr>
          <w:lang w:val="en-US"/>
        </w:rPr>
        <w:fldChar w:fldCharType="begin"/>
      </w:r>
      <w:r>
        <w:rPr>
          <w:lang w:val="en-US"/>
        </w:rPr>
        <w:instrText xml:space="preserve"> REF _Ref525839958 \h </w:instrText>
      </w:r>
      <w:r>
        <w:rPr>
          <w:lang w:val="en-US"/>
        </w:rPr>
      </w:r>
      <w:r>
        <w:rPr>
          <w:lang w:val="en-US"/>
        </w:rPr>
        <w:fldChar w:fldCharType="separate"/>
      </w:r>
      <w:r w:rsidRPr="004F48AF">
        <w:t xml:space="preserve">Figure </w:t>
      </w:r>
      <w:r w:rsidRPr="004F48AF">
        <w:rPr>
          <w:noProof/>
        </w:rPr>
        <w:t>1</w:t>
      </w:r>
      <w:r>
        <w:rPr>
          <w:lang w:val="en-US"/>
        </w:rPr>
        <w:fldChar w:fldCharType="end"/>
      </w:r>
      <w:r>
        <w:rPr>
          <w:lang w:val="en-US"/>
        </w:rPr>
        <w:t xml:space="preserve"> shows the concept of subgrouping for Option A. The use of Rel-15 WUS as a “super-group” allows for backward compatibility. The Rel-15 devices and Rel-16 devices may be considered already as “subgroup x”. The effect on legacy devices should be considered and is FFS. </w:t>
      </w:r>
      <w:r>
        <w:rPr>
          <w:lang w:val="en-US"/>
        </w:rPr>
        <w:fldChar w:fldCharType="begin"/>
      </w:r>
      <w:r>
        <w:rPr>
          <w:lang w:val="en-US"/>
        </w:rPr>
        <w:instrText xml:space="preserve"> REF _Ref525840165 \h </w:instrText>
      </w:r>
      <w:r>
        <w:rPr>
          <w:lang w:val="en-US"/>
        </w:rPr>
      </w:r>
      <w:r>
        <w:rPr>
          <w:lang w:val="en-US"/>
        </w:rPr>
        <w:fldChar w:fldCharType="separate"/>
      </w:r>
      <w:r w:rsidRPr="00572652">
        <w:t xml:space="preserve">Figure </w:t>
      </w:r>
      <w:r>
        <w:rPr>
          <w:noProof/>
        </w:rPr>
        <w:t>2</w:t>
      </w:r>
      <w:r>
        <w:rPr>
          <w:lang w:val="en-US"/>
        </w:rPr>
        <w:fldChar w:fldCharType="end"/>
      </w:r>
      <w:r>
        <w:rPr>
          <w:lang w:val="en-US"/>
        </w:rPr>
        <w:t xml:space="preserve"> illustrates the Rel-16 UE behavior of Rel-15 WUS which is NOT used as a super</w:t>
      </w:r>
      <w:r w:rsidR="00A80C54">
        <w:rPr>
          <w:lang w:val="en-US"/>
        </w:rPr>
        <w:t>-</w:t>
      </w:r>
      <w:r>
        <w:rPr>
          <w:lang w:val="en-US"/>
        </w:rPr>
        <w:t>group-beacon. For activation of Rel-16 UEs, no Rel-15 WUS is needed and Rel-15 UEs do not wake up.</w:t>
      </w:r>
    </w:p>
    <w:p w:rsidR="001B5627" w:rsidRDefault="001B5627" w:rsidP="001B5627">
      <w:pPr>
        <w:rPr>
          <w:lang w:val="en-US"/>
        </w:rPr>
      </w:pPr>
      <w:r>
        <w:rPr>
          <w:noProof/>
          <w:lang w:val="en-US" w:eastAsia="en-US"/>
        </w:rPr>
        <w:drawing>
          <wp:inline distT="0" distB="0" distL="0" distR="0" wp14:anchorId="48EB76B2" wp14:editId="0C357477">
            <wp:extent cx="4964765" cy="1741168"/>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jn\AppData\Local\Microsoft\Windows\INetCache\Content.Word\R15 WUS wo R15 WUS.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964765" cy="1741168"/>
                    </a:xfrm>
                    <a:prstGeom prst="rect">
                      <a:avLst/>
                    </a:prstGeom>
                    <a:noFill/>
                    <a:ln>
                      <a:noFill/>
                    </a:ln>
                  </pic:spPr>
                </pic:pic>
              </a:graphicData>
            </a:graphic>
          </wp:inline>
        </w:drawing>
      </w:r>
    </w:p>
    <w:p w:rsidR="001B5627" w:rsidRPr="00572652" w:rsidRDefault="001B5627" w:rsidP="001B5627">
      <w:pPr>
        <w:pStyle w:val="Caption"/>
      </w:pPr>
      <w:r w:rsidRPr="00A94B15">
        <w:t xml:space="preserve">Figure </w:t>
      </w:r>
      <w:r w:rsidRPr="00A94B15">
        <w:fldChar w:fldCharType="begin"/>
      </w:r>
      <w:r w:rsidRPr="00A94B15">
        <w:instrText xml:space="preserve"> SEQ Figure \* ARABIC </w:instrText>
      </w:r>
      <w:r w:rsidRPr="00A94B15">
        <w:fldChar w:fldCharType="separate"/>
      </w:r>
      <w:r w:rsidRPr="00A94B15">
        <w:rPr>
          <w:noProof/>
        </w:rPr>
        <w:t>2</w:t>
      </w:r>
      <w:r w:rsidRPr="00A94B15">
        <w:fldChar w:fldCharType="end"/>
      </w:r>
      <w:r w:rsidRPr="00A94B15">
        <w:t xml:space="preserve"> – Rel-16 WUS subgrouping w/o Rel-15 WUS – Option B</w:t>
      </w:r>
    </w:p>
    <w:p w:rsidR="001B5627" w:rsidRDefault="001B5627" w:rsidP="001B5627">
      <w:pPr>
        <w:rPr>
          <w:lang w:val="en-US"/>
        </w:rPr>
      </w:pPr>
      <w:r>
        <w:rPr>
          <w:lang w:val="en-US"/>
        </w:rPr>
        <w:t>In addition to a Rel-15 beacon, a 2-step Rel-16 WUS with CDM WUS sequence for each step allows sub-subgrouping and fine granular wake-up functionality. The grouping of 1</w:t>
      </w:r>
      <w:r w:rsidRPr="004F48AF">
        <w:rPr>
          <w:vertAlign w:val="superscript"/>
          <w:lang w:val="en-US"/>
        </w:rPr>
        <w:t>st</w:t>
      </w:r>
      <w:r>
        <w:rPr>
          <w:lang w:val="en-US"/>
        </w:rPr>
        <w:t xml:space="preserve"> and 2</w:t>
      </w:r>
      <w:r w:rsidRPr="004F48AF">
        <w:rPr>
          <w:vertAlign w:val="superscript"/>
          <w:lang w:val="en-US"/>
        </w:rPr>
        <w:t>nd</w:t>
      </w:r>
      <w:r>
        <w:rPr>
          <w:lang w:val="en-US"/>
        </w:rPr>
        <w:t xml:space="preserve"> step CDM WUS is done via UE_ID, but may also include another differentiation criteria.</w:t>
      </w:r>
    </w:p>
    <w:p w:rsidR="001B5627" w:rsidRDefault="001B5627" w:rsidP="001B5627">
      <w:pPr>
        <w:pStyle w:val="TDocProposal"/>
      </w:pPr>
      <w:bookmarkStart w:id="26" w:name="_Toc528769135"/>
      <w:bookmarkStart w:id="27" w:name="_Toc528786726"/>
      <w:bookmarkStart w:id="28" w:name="_Toc528787414"/>
      <w:bookmarkStart w:id="29" w:name="_Toc528787480"/>
      <w:r>
        <w:t>The Rel-16 part of the WUS supports a minimum of 4 different sequences (=subgroups) per step.</w:t>
      </w:r>
      <w:bookmarkEnd w:id="26"/>
      <w:bookmarkEnd w:id="27"/>
      <w:bookmarkEnd w:id="28"/>
      <w:bookmarkEnd w:id="29"/>
    </w:p>
    <w:p w:rsidR="00004739" w:rsidRPr="00331E55" w:rsidRDefault="00004739" w:rsidP="0048580E">
      <w:pPr>
        <w:pStyle w:val="Heading1"/>
        <w:jc w:val="both"/>
        <w:rPr>
          <w:rFonts w:eastAsia="Batang"/>
          <w:lang w:val="en-US"/>
        </w:rPr>
      </w:pPr>
      <w:r w:rsidRPr="00331E55">
        <w:rPr>
          <w:rFonts w:eastAsia="Batang"/>
          <w:lang w:val="en-US"/>
        </w:rPr>
        <w:t>Conclusions</w:t>
      </w:r>
    </w:p>
    <w:p w:rsidR="00513B71" w:rsidRDefault="00004739" w:rsidP="005A1D1B">
      <w:pPr>
        <w:pStyle w:val="BodyText"/>
        <w:rPr>
          <w:rFonts w:ascii="Times New Roman" w:eastAsia="Batang" w:hAnsi="Times New Roman"/>
          <w:lang w:val="en-US" w:eastAsia="de-DE"/>
        </w:rPr>
      </w:pPr>
      <w:r w:rsidRPr="003848B9">
        <w:rPr>
          <w:rFonts w:ascii="Times New Roman" w:eastAsia="Batang" w:hAnsi="Times New Roman"/>
          <w:lang w:val="en-US" w:eastAsia="de-DE"/>
        </w:rPr>
        <w:t>In this contribution the following observations and proposals have been made:</w:t>
      </w:r>
    </w:p>
    <w:sdt>
      <w:sdtPr>
        <w:rPr>
          <w:b/>
          <w:sz w:val="20"/>
        </w:rPr>
        <w:id w:val="500636964"/>
        <w:docPartObj>
          <w:docPartGallery w:val="Table of Contents"/>
          <w:docPartUnique/>
        </w:docPartObj>
      </w:sdtPr>
      <w:sdtEndPr/>
      <w:sdtContent>
        <w:p w:rsidR="001A3706" w:rsidRPr="001A3706" w:rsidRDefault="00607374" w:rsidP="001A3706">
          <w:pPr>
            <w:pStyle w:val="TOC1"/>
            <w:keepNext w:val="0"/>
            <w:tabs>
              <w:tab w:val="left" w:pos="1418"/>
            </w:tabs>
            <w:spacing w:before="0"/>
            <w:ind w:right="432"/>
            <w:rPr>
              <w:rFonts w:asciiTheme="minorHAnsi" w:eastAsiaTheme="minorEastAsia" w:hAnsiTheme="minorHAnsi" w:cstheme="minorBidi"/>
              <w:b/>
              <w:sz w:val="20"/>
              <w:lang w:val="en-US" w:eastAsia="en-US"/>
            </w:rPr>
          </w:pPr>
          <w:r w:rsidRPr="001A3706">
            <w:rPr>
              <w:b/>
              <w:sz w:val="20"/>
            </w:rPr>
            <w:fldChar w:fldCharType="begin"/>
          </w:r>
          <w:r w:rsidRPr="001A3706">
            <w:rPr>
              <w:b/>
              <w:sz w:val="20"/>
            </w:rPr>
            <w:instrText xml:space="preserve"> TOC \n \t "TDoc Proposal,1,TDoc Observation,1" </w:instrText>
          </w:r>
          <w:r w:rsidRPr="001A3706">
            <w:rPr>
              <w:b/>
              <w:sz w:val="20"/>
            </w:rPr>
            <w:fldChar w:fldCharType="separate"/>
          </w:r>
          <w:r w:rsidR="001A3706" w:rsidRPr="001A3706">
            <w:rPr>
              <w:b/>
              <w:sz w:val="20"/>
              <w:lang w:eastAsia="x-none"/>
            </w:rPr>
            <w:t>Proposal 1:</w:t>
          </w:r>
          <w:r w:rsidR="001A3706" w:rsidRPr="001A3706">
            <w:rPr>
              <w:rFonts w:asciiTheme="minorHAnsi" w:eastAsiaTheme="minorEastAsia" w:hAnsiTheme="minorHAnsi" w:cstheme="minorBidi"/>
              <w:b/>
              <w:sz w:val="20"/>
              <w:lang w:val="en-US" w:eastAsia="en-US"/>
            </w:rPr>
            <w:tab/>
          </w:r>
          <w:r w:rsidR="001A3706" w:rsidRPr="001A3706">
            <w:rPr>
              <w:b/>
              <w:sz w:val="20"/>
            </w:rPr>
            <w:t>The Rel-16 part of the WUS supports a minimum of 4 different sequences (=subgroups) per step.</w:t>
          </w:r>
        </w:p>
        <w:p w:rsidR="001A3706" w:rsidRPr="001A3706" w:rsidRDefault="001A3706" w:rsidP="001A3706">
          <w:pPr>
            <w:pStyle w:val="TOC1"/>
            <w:keepNext w:val="0"/>
            <w:tabs>
              <w:tab w:val="left" w:pos="1418"/>
            </w:tabs>
            <w:spacing w:before="0"/>
            <w:ind w:right="432"/>
            <w:rPr>
              <w:rFonts w:asciiTheme="minorHAnsi" w:eastAsiaTheme="minorEastAsia" w:hAnsiTheme="minorHAnsi" w:cstheme="minorBidi"/>
              <w:b/>
              <w:sz w:val="20"/>
              <w:lang w:val="en-US" w:eastAsia="en-US"/>
            </w:rPr>
          </w:pPr>
          <w:r w:rsidRPr="001A3706">
            <w:rPr>
              <w:b/>
              <w:sz w:val="20"/>
            </w:rPr>
            <w:t>Proposal 2:</w:t>
          </w:r>
          <w:r w:rsidRPr="001A3706">
            <w:rPr>
              <w:rFonts w:asciiTheme="minorHAnsi" w:eastAsiaTheme="minorEastAsia" w:hAnsiTheme="minorHAnsi" w:cstheme="minorBidi"/>
              <w:b/>
              <w:sz w:val="20"/>
              <w:lang w:val="en-US" w:eastAsia="en-US"/>
            </w:rPr>
            <w:tab/>
          </w:r>
          <w:r w:rsidRPr="001A3706">
            <w:rPr>
              <w:b/>
              <w:sz w:val="20"/>
            </w:rPr>
            <w:t>The UE-grouping is based on the UE ID. A service ID might be used for a second level of differentiation.</w:t>
          </w:r>
        </w:p>
        <w:p w:rsidR="001A3706" w:rsidRPr="001A3706" w:rsidRDefault="001A3706" w:rsidP="001A3706">
          <w:pPr>
            <w:pStyle w:val="TOC1"/>
            <w:keepNext w:val="0"/>
            <w:tabs>
              <w:tab w:val="left" w:pos="1418"/>
            </w:tabs>
            <w:spacing w:before="0"/>
            <w:ind w:right="432"/>
            <w:rPr>
              <w:rFonts w:asciiTheme="minorHAnsi" w:eastAsiaTheme="minorEastAsia" w:hAnsiTheme="minorHAnsi" w:cstheme="minorBidi"/>
              <w:b/>
              <w:sz w:val="20"/>
              <w:lang w:val="en-US" w:eastAsia="en-US"/>
            </w:rPr>
          </w:pPr>
          <w:r w:rsidRPr="001A3706">
            <w:rPr>
              <w:b/>
              <w:sz w:val="20"/>
            </w:rPr>
            <w:t>Proposal 3:</w:t>
          </w:r>
          <w:r w:rsidRPr="001A3706">
            <w:rPr>
              <w:rFonts w:asciiTheme="minorHAnsi" w:eastAsiaTheme="minorEastAsia" w:hAnsiTheme="minorHAnsi" w:cstheme="minorBidi"/>
              <w:b/>
              <w:sz w:val="20"/>
              <w:lang w:val="en-US" w:eastAsia="en-US"/>
            </w:rPr>
            <w:tab/>
          </w:r>
          <w:r w:rsidRPr="001A3706">
            <w:rPr>
              <w:b/>
              <w:sz w:val="20"/>
            </w:rPr>
            <w:t>Coverage is not considered as a grouping feature.</w:t>
          </w:r>
        </w:p>
        <w:p w:rsidR="001A3706" w:rsidRPr="001A3706" w:rsidRDefault="001A3706" w:rsidP="001A3706">
          <w:pPr>
            <w:pStyle w:val="TOC1"/>
            <w:keepNext w:val="0"/>
            <w:tabs>
              <w:tab w:val="left" w:pos="1418"/>
            </w:tabs>
            <w:spacing w:before="0"/>
            <w:ind w:right="432"/>
            <w:rPr>
              <w:rFonts w:asciiTheme="minorHAnsi" w:eastAsiaTheme="minorEastAsia" w:hAnsiTheme="minorHAnsi" w:cstheme="minorBidi"/>
              <w:b/>
              <w:sz w:val="20"/>
              <w:lang w:val="en-US" w:eastAsia="en-US"/>
            </w:rPr>
          </w:pPr>
          <w:r w:rsidRPr="001A3706">
            <w:rPr>
              <w:b/>
              <w:sz w:val="20"/>
            </w:rPr>
            <w:t>Proposal 4:</w:t>
          </w:r>
          <w:r w:rsidRPr="001A3706">
            <w:rPr>
              <w:rFonts w:asciiTheme="minorHAnsi" w:eastAsiaTheme="minorEastAsia" w:hAnsiTheme="minorHAnsi" w:cstheme="minorBidi"/>
              <w:b/>
              <w:sz w:val="20"/>
              <w:lang w:val="en-US" w:eastAsia="en-US"/>
            </w:rPr>
            <w:tab/>
          </w:r>
          <w:r w:rsidRPr="001A3706">
            <w:rPr>
              <w:b/>
              <w:sz w:val="20"/>
            </w:rPr>
            <w:t>The Rel-15 behavior of Rel-16 UEs should be further studied.</w:t>
          </w:r>
        </w:p>
        <w:p w:rsidR="001A3706" w:rsidRPr="001A3706" w:rsidRDefault="001A3706" w:rsidP="001A3706">
          <w:pPr>
            <w:pStyle w:val="TOC1"/>
            <w:keepNext w:val="0"/>
            <w:tabs>
              <w:tab w:val="left" w:pos="1418"/>
            </w:tabs>
            <w:spacing w:before="0"/>
            <w:ind w:right="432"/>
            <w:rPr>
              <w:rFonts w:asciiTheme="minorHAnsi" w:eastAsiaTheme="minorEastAsia" w:hAnsiTheme="minorHAnsi" w:cstheme="minorBidi"/>
              <w:b/>
              <w:sz w:val="20"/>
              <w:lang w:val="en-US" w:eastAsia="en-US"/>
            </w:rPr>
          </w:pPr>
          <w:r w:rsidRPr="001A3706">
            <w:rPr>
              <w:b/>
              <w:sz w:val="20"/>
            </w:rPr>
            <w:t>Proposal 5:</w:t>
          </w:r>
          <w:r w:rsidRPr="001A3706">
            <w:rPr>
              <w:rFonts w:asciiTheme="minorHAnsi" w:eastAsiaTheme="minorEastAsia" w:hAnsiTheme="minorHAnsi" w:cstheme="minorBidi"/>
              <w:b/>
              <w:sz w:val="20"/>
              <w:lang w:val="en-US" w:eastAsia="en-US"/>
            </w:rPr>
            <w:tab/>
          </w:r>
          <w:r w:rsidRPr="001A3706">
            <w:rPr>
              <w:b/>
              <w:sz w:val="20"/>
            </w:rPr>
            <w:t>Rel-16 WUS uses a 2-step addressing for sub-groups.</w:t>
          </w:r>
        </w:p>
        <w:p w:rsidR="001A3706" w:rsidRPr="001A3706" w:rsidRDefault="001A3706" w:rsidP="001A3706">
          <w:pPr>
            <w:pStyle w:val="TOC1"/>
            <w:keepNext w:val="0"/>
            <w:tabs>
              <w:tab w:val="left" w:pos="1418"/>
            </w:tabs>
            <w:spacing w:before="0"/>
            <w:ind w:right="432"/>
            <w:rPr>
              <w:rFonts w:asciiTheme="minorHAnsi" w:eastAsiaTheme="minorEastAsia" w:hAnsiTheme="minorHAnsi" w:cstheme="minorBidi"/>
              <w:b/>
              <w:sz w:val="20"/>
              <w:lang w:val="en-US" w:eastAsia="en-US"/>
            </w:rPr>
          </w:pPr>
          <w:r w:rsidRPr="001A3706">
            <w:rPr>
              <w:b/>
              <w:sz w:val="20"/>
            </w:rPr>
            <w:t>Proposal 6:</w:t>
          </w:r>
          <w:r w:rsidRPr="001A3706">
            <w:rPr>
              <w:rFonts w:asciiTheme="minorHAnsi" w:eastAsiaTheme="minorEastAsia" w:hAnsiTheme="minorHAnsi" w:cstheme="minorBidi"/>
              <w:b/>
              <w:sz w:val="20"/>
              <w:lang w:val="en-US" w:eastAsia="en-US"/>
            </w:rPr>
            <w:tab/>
          </w:r>
          <w:r w:rsidRPr="001A3706">
            <w:rPr>
              <w:b/>
              <w:sz w:val="20"/>
            </w:rPr>
            <w:t>The Rel-16 part of the WUS supports a minimum of 4 different sequences (=subgroups) per step.</w:t>
          </w:r>
        </w:p>
        <w:p w:rsidR="00607374" w:rsidRPr="001A3706" w:rsidRDefault="00607374" w:rsidP="001A3706">
          <w:pPr>
            <w:pStyle w:val="TOC1"/>
            <w:keepNext w:val="0"/>
            <w:tabs>
              <w:tab w:val="left" w:pos="1418"/>
            </w:tabs>
            <w:spacing w:before="0"/>
            <w:ind w:left="0" w:right="432" w:firstLine="0"/>
            <w:rPr>
              <w:b/>
              <w:sz w:val="20"/>
            </w:rPr>
          </w:pPr>
          <w:r w:rsidRPr="001A3706">
            <w:rPr>
              <w:b/>
              <w:sz w:val="20"/>
            </w:rPr>
            <w:fldChar w:fldCharType="end"/>
          </w:r>
        </w:p>
      </w:sdtContent>
    </w:sdt>
    <w:sdt>
      <w:sdtPr>
        <w:rPr>
          <w:rFonts w:ascii="Times New Roman" w:hAnsi="Times New Roman"/>
          <w:sz w:val="20"/>
          <w:lang w:val="en-GB" w:eastAsia="ja-JP"/>
        </w:rPr>
        <w:id w:val="1429844078"/>
        <w:docPartObj>
          <w:docPartGallery w:val="Bibliographies"/>
          <w:docPartUnique/>
        </w:docPartObj>
      </w:sdtPr>
      <w:sdtEndPr/>
      <w:sdtContent>
        <w:p w:rsidR="00757C26" w:rsidRDefault="00757C26">
          <w:pPr>
            <w:pStyle w:val="Heading1"/>
          </w:pPr>
          <w:r>
            <w:t>References</w:t>
          </w:r>
        </w:p>
        <w:sdt>
          <w:sdtPr>
            <w:id w:val="-573587230"/>
            <w:bibliography/>
          </w:sdtPr>
          <w:sdtEndPr/>
          <w:sdtContent>
            <w:p w:rsidR="001A3706" w:rsidRDefault="00757C26" w:rsidP="00F30AA8">
              <w:pPr>
                <w:rPr>
                  <w:noProof/>
                  <w:lang w:val="de-DE" w:eastAsia="de-DE"/>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64"/>
              </w:tblGrid>
              <w:tr w:rsidR="001A3706">
                <w:trPr>
                  <w:divId w:val="1673489957"/>
                  <w:tblCellSpacing w:w="15" w:type="dxa"/>
                </w:trPr>
                <w:tc>
                  <w:tcPr>
                    <w:tcW w:w="50" w:type="pct"/>
                    <w:hideMark/>
                  </w:tcPr>
                  <w:p w:rsidR="001A3706" w:rsidRDefault="001A3706">
                    <w:pPr>
                      <w:pStyle w:val="Bibliography"/>
                      <w:rPr>
                        <w:noProof/>
                        <w:sz w:val="24"/>
                        <w:szCs w:val="24"/>
                        <w:lang w:val="de-DE"/>
                      </w:rPr>
                    </w:pPr>
                    <w:r>
                      <w:rPr>
                        <w:noProof/>
                        <w:lang w:val="de-DE"/>
                      </w:rPr>
                      <w:t xml:space="preserve">[1] </w:t>
                    </w:r>
                  </w:p>
                </w:tc>
                <w:tc>
                  <w:tcPr>
                    <w:tcW w:w="0" w:type="auto"/>
                    <w:hideMark/>
                  </w:tcPr>
                  <w:p w:rsidR="001A3706" w:rsidRPr="001A3706" w:rsidRDefault="001A3706">
                    <w:pPr>
                      <w:pStyle w:val="Bibliography"/>
                      <w:rPr>
                        <w:noProof/>
                        <w:lang w:val="en-US"/>
                      </w:rPr>
                    </w:pPr>
                    <w:r w:rsidRPr="001A3706">
                      <w:rPr>
                        <w:noProof/>
                        <w:lang w:val="en-US"/>
                      </w:rPr>
                      <w:t>„RP-181674: "WID: Additional enhancements for NB-IoT"“.</w:t>
                    </w:r>
                  </w:p>
                </w:tc>
              </w:tr>
              <w:tr w:rsidR="001A3706">
                <w:trPr>
                  <w:divId w:val="1673489957"/>
                  <w:tblCellSpacing w:w="15" w:type="dxa"/>
                </w:trPr>
                <w:tc>
                  <w:tcPr>
                    <w:tcW w:w="50" w:type="pct"/>
                    <w:hideMark/>
                  </w:tcPr>
                  <w:p w:rsidR="001A3706" w:rsidRDefault="001A3706">
                    <w:pPr>
                      <w:pStyle w:val="Bibliography"/>
                      <w:rPr>
                        <w:noProof/>
                        <w:lang w:val="de-DE"/>
                      </w:rPr>
                    </w:pPr>
                    <w:r>
                      <w:rPr>
                        <w:noProof/>
                        <w:lang w:val="de-DE"/>
                      </w:rPr>
                      <w:t xml:space="preserve">[2] </w:t>
                    </w:r>
                  </w:p>
                </w:tc>
                <w:tc>
                  <w:tcPr>
                    <w:tcW w:w="0" w:type="auto"/>
                    <w:hideMark/>
                  </w:tcPr>
                  <w:p w:rsidR="001A3706" w:rsidRPr="001A3706" w:rsidRDefault="001A3706">
                    <w:pPr>
                      <w:pStyle w:val="Bibliography"/>
                      <w:rPr>
                        <w:noProof/>
                        <w:lang w:val="en-US"/>
                      </w:rPr>
                    </w:pPr>
                    <w:r w:rsidRPr="001A3706">
                      <w:rPr>
                        <w:noProof/>
                        <w:lang w:val="en-US"/>
                      </w:rPr>
                      <w:t>„R1-1810051: Final Report of 3GPP TSG RAN WG1 #94 v1.0.0,“ Gothenburg.</w:t>
                    </w:r>
                  </w:p>
                </w:tc>
              </w:tr>
              <w:tr w:rsidR="001A3706">
                <w:trPr>
                  <w:divId w:val="1673489957"/>
                  <w:tblCellSpacing w:w="15" w:type="dxa"/>
                </w:trPr>
                <w:tc>
                  <w:tcPr>
                    <w:tcW w:w="50" w:type="pct"/>
                    <w:hideMark/>
                  </w:tcPr>
                  <w:p w:rsidR="001A3706" w:rsidRDefault="001A3706">
                    <w:pPr>
                      <w:pStyle w:val="Bibliography"/>
                      <w:rPr>
                        <w:noProof/>
                        <w:lang w:val="de-DE"/>
                      </w:rPr>
                    </w:pPr>
                    <w:r>
                      <w:rPr>
                        <w:noProof/>
                        <w:lang w:val="de-DE"/>
                      </w:rPr>
                      <w:t xml:space="preserve">[3] </w:t>
                    </w:r>
                  </w:p>
                </w:tc>
                <w:tc>
                  <w:tcPr>
                    <w:tcW w:w="0" w:type="auto"/>
                    <w:hideMark/>
                  </w:tcPr>
                  <w:p w:rsidR="001A3706" w:rsidRPr="001A3706" w:rsidRDefault="001A3706">
                    <w:pPr>
                      <w:pStyle w:val="Bibliography"/>
                      <w:rPr>
                        <w:noProof/>
                        <w:lang w:val="en-US"/>
                      </w:rPr>
                    </w:pPr>
                    <w:r w:rsidRPr="001A3706">
                      <w:rPr>
                        <w:noProof/>
                        <w:lang w:val="en-US"/>
                      </w:rPr>
                      <w:t>„R1-1811658: Summary of 6.2.1.1 UE group MWUS“.</w:t>
                    </w:r>
                  </w:p>
                </w:tc>
              </w:tr>
              <w:tr w:rsidR="001A3706">
                <w:trPr>
                  <w:divId w:val="1673489957"/>
                  <w:tblCellSpacing w:w="15" w:type="dxa"/>
                </w:trPr>
                <w:tc>
                  <w:tcPr>
                    <w:tcW w:w="50" w:type="pct"/>
                    <w:hideMark/>
                  </w:tcPr>
                  <w:p w:rsidR="001A3706" w:rsidRDefault="001A3706">
                    <w:pPr>
                      <w:pStyle w:val="Bibliography"/>
                      <w:rPr>
                        <w:noProof/>
                        <w:lang w:val="de-DE"/>
                      </w:rPr>
                    </w:pPr>
                    <w:r>
                      <w:rPr>
                        <w:noProof/>
                        <w:lang w:val="de-DE"/>
                      </w:rPr>
                      <w:t xml:space="preserve">[4] </w:t>
                    </w:r>
                  </w:p>
                </w:tc>
                <w:tc>
                  <w:tcPr>
                    <w:tcW w:w="0" w:type="auto"/>
                    <w:hideMark/>
                  </w:tcPr>
                  <w:p w:rsidR="001A3706" w:rsidRPr="001A3706" w:rsidRDefault="001A3706">
                    <w:pPr>
                      <w:pStyle w:val="Bibliography"/>
                      <w:rPr>
                        <w:noProof/>
                        <w:lang w:val="en-US"/>
                      </w:rPr>
                    </w:pPr>
                    <w:r w:rsidRPr="001A3706">
                      <w:rPr>
                        <w:noProof/>
                        <w:lang w:val="en-US"/>
                      </w:rPr>
                      <w:t>„R1-1811664: Feature summary of UE-group wake-up signal for NB-IoT“.</w:t>
                    </w:r>
                  </w:p>
                </w:tc>
              </w:tr>
            </w:tbl>
            <w:p w:rsidR="001A3706" w:rsidRDefault="001A3706">
              <w:pPr>
                <w:divId w:val="1673489957"/>
                <w:rPr>
                  <w:noProof/>
                </w:rPr>
              </w:pPr>
            </w:p>
            <w:p w:rsidR="00F30AA8" w:rsidRPr="00F30AA8" w:rsidRDefault="00757C26" w:rsidP="00F30AA8">
              <w:r>
                <w:rPr>
                  <w:b/>
                  <w:bCs/>
                  <w:noProof/>
                </w:rPr>
                <w:fldChar w:fldCharType="end"/>
              </w:r>
            </w:p>
          </w:sdtContent>
        </w:sdt>
      </w:sdtContent>
    </w:sdt>
    <w:sectPr w:rsidR="00F30AA8" w:rsidRPr="00F30AA8" w:rsidSect="00383095">
      <w:footnotePr>
        <w:numRestart w:val="eachSect"/>
      </w:footnotePr>
      <w:pgSz w:w="11907" w:h="16840" w:code="9"/>
      <w:pgMar w:top="1417" w:right="1417" w:bottom="1134" w:left="1417"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7A8" w:rsidRDefault="001907A8">
      <w:r>
        <w:separator/>
      </w:r>
    </w:p>
    <w:p w:rsidR="001907A8" w:rsidRDefault="001907A8"/>
  </w:endnote>
  <w:endnote w:type="continuationSeparator" w:id="0">
    <w:p w:rsidR="001907A8" w:rsidRDefault="001907A8">
      <w:r>
        <w:continuationSeparator/>
      </w:r>
    </w:p>
    <w:p w:rsidR="001907A8" w:rsidRDefault="00190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7A8" w:rsidRDefault="001907A8">
      <w:r>
        <w:separator/>
      </w:r>
    </w:p>
    <w:p w:rsidR="001907A8" w:rsidRDefault="001907A8"/>
  </w:footnote>
  <w:footnote w:type="continuationSeparator" w:id="0">
    <w:p w:rsidR="001907A8" w:rsidRDefault="001907A8">
      <w:r>
        <w:continuationSeparator/>
      </w:r>
    </w:p>
    <w:p w:rsidR="001907A8" w:rsidRDefault="001907A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3D7043"/>
    <w:multiLevelType w:val="hybridMultilevel"/>
    <w:tmpl w:val="31BC6B5C"/>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0D6939E3"/>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A878DB"/>
    <w:multiLevelType w:val="hybridMultilevel"/>
    <w:tmpl w:val="B5EEE2BA"/>
    <w:lvl w:ilvl="0" w:tplc="84EA8B2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6B1570"/>
    <w:multiLevelType w:val="multilevel"/>
    <w:tmpl w:val="27B6D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7D1B9E"/>
    <w:multiLevelType w:val="hybridMultilevel"/>
    <w:tmpl w:val="7AAA44A4"/>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8" w15:restartNumberingAfterBreak="0">
    <w:nsid w:val="2E35572F"/>
    <w:multiLevelType w:val="hybridMultilevel"/>
    <w:tmpl w:val="73F27F6C"/>
    <w:lvl w:ilvl="0" w:tplc="DE8AF766">
      <w:start w:val="1"/>
      <w:numFmt w:val="bullet"/>
      <w:pStyle w:val="ListParagraph"/>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hybridMultilevel"/>
    <w:tmpl w:val="2A82015E"/>
    <w:lvl w:ilvl="0" w:tplc="F4E4853E">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1" w15:restartNumberingAfterBreak="0">
    <w:nsid w:val="4039116C"/>
    <w:multiLevelType w:val="hybridMultilevel"/>
    <w:tmpl w:val="AD74ABC0"/>
    <w:lvl w:ilvl="0" w:tplc="313C32AE">
      <w:start w:val="1"/>
      <w:numFmt w:val="bullet"/>
      <w:lvlText w:val="-"/>
      <w:lvlJc w:val="left"/>
      <w:pPr>
        <w:ind w:left="1080" w:hanging="360"/>
      </w:pPr>
      <w:rPr>
        <w:rFonts w:ascii="Calibri" w:eastAsia="DengXian"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40A70509"/>
    <w:multiLevelType w:val="hybridMultilevel"/>
    <w:tmpl w:val="E2DA4CB6"/>
    <w:lvl w:ilvl="0" w:tplc="78A864BC">
      <w:start w:val="1"/>
      <w:numFmt w:val="decimal"/>
      <w:lvlText w:val="Proposal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22A7A54"/>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417C1A"/>
    <w:multiLevelType w:val="hybridMultilevel"/>
    <w:tmpl w:val="77824C7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E35AE8"/>
    <w:multiLevelType w:val="hybridMultilevel"/>
    <w:tmpl w:val="83B4141C"/>
    <w:lvl w:ilvl="0" w:tplc="FDF8DF42">
      <w:start w:val="1"/>
      <w:numFmt w:val="decimal"/>
      <w:pStyle w:val="TDocProposal"/>
      <w:lvlText w:val="Proposal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49401ED"/>
    <w:multiLevelType w:val="hybridMultilevel"/>
    <w:tmpl w:val="4DE6DB96"/>
    <w:lvl w:ilvl="0" w:tplc="6CA0BF8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D2804AA"/>
    <w:multiLevelType w:val="multilevel"/>
    <w:tmpl w:val="3DC6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570481"/>
    <w:multiLevelType w:val="hybridMultilevel"/>
    <w:tmpl w:val="C23C2964"/>
    <w:lvl w:ilvl="0" w:tplc="897A92CA">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4F76937"/>
    <w:multiLevelType w:val="hybridMultilevel"/>
    <w:tmpl w:val="DCA8D3B6"/>
    <w:lvl w:ilvl="0" w:tplc="6CD21B1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20"/>
  </w:num>
  <w:num w:numId="14">
    <w:abstractNumId w:val="25"/>
  </w:num>
  <w:num w:numId="15">
    <w:abstractNumId w:val="33"/>
  </w:num>
  <w:num w:numId="16">
    <w:abstractNumId w:val="8"/>
  </w:num>
  <w:num w:numId="17">
    <w:abstractNumId w:val="11"/>
  </w:num>
  <w:num w:numId="18">
    <w:abstractNumId w:val="23"/>
  </w:num>
  <w:num w:numId="1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num>
  <w:num w:numId="24">
    <w:abstractNumId w:val="11"/>
  </w:num>
  <w:num w:numId="25">
    <w:abstractNumId w:val="22"/>
  </w:num>
  <w:num w:numId="26">
    <w:abstractNumId w:val="10"/>
  </w:num>
  <w:num w:numId="27">
    <w:abstractNumId w:val="27"/>
  </w:num>
  <w:num w:numId="28">
    <w:abstractNumId w:val="19"/>
  </w:num>
  <w:num w:numId="29">
    <w:abstractNumId w:val="31"/>
  </w:num>
  <w:num w:numId="30">
    <w:abstractNumId w:val="27"/>
    <w:lvlOverride w:ilvl="0">
      <w:startOverride w:val="1"/>
    </w:lvlOverride>
  </w:num>
  <w:num w:numId="31">
    <w:abstractNumId w:val="26"/>
  </w:num>
  <w:num w:numId="32">
    <w:abstractNumId w:val="15"/>
  </w:num>
  <w:num w:numId="33">
    <w:abstractNumId w:val="28"/>
  </w:num>
  <w:num w:numId="34">
    <w:abstractNumId w:val="21"/>
  </w:num>
  <w:num w:numId="35">
    <w:abstractNumId w:val="18"/>
  </w:num>
  <w:num w:numId="36">
    <w:abstractNumId w:val="29"/>
  </w:num>
  <w:num w:numId="37">
    <w:abstractNumId w:val="16"/>
  </w:num>
  <w:num w:numId="38">
    <w:abstractNumId w:val="30"/>
  </w:num>
  <w:num w:numId="39">
    <w:abstractNumId w:val="13"/>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17B3"/>
    <w:rsid w:val="00001E11"/>
    <w:rsid w:val="000021D4"/>
    <w:rsid w:val="00003AAC"/>
    <w:rsid w:val="00004139"/>
    <w:rsid w:val="00004739"/>
    <w:rsid w:val="00005ABC"/>
    <w:rsid w:val="00007DCF"/>
    <w:rsid w:val="00010E1B"/>
    <w:rsid w:val="00011627"/>
    <w:rsid w:val="00012A29"/>
    <w:rsid w:val="00014F30"/>
    <w:rsid w:val="00017797"/>
    <w:rsid w:val="00023116"/>
    <w:rsid w:val="00023231"/>
    <w:rsid w:val="00025661"/>
    <w:rsid w:val="00032F43"/>
    <w:rsid w:val="00033397"/>
    <w:rsid w:val="00035E2B"/>
    <w:rsid w:val="00036040"/>
    <w:rsid w:val="000370CD"/>
    <w:rsid w:val="00040095"/>
    <w:rsid w:val="000427AE"/>
    <w:rsid w:val="00043938"/>
    <w:rsid w:val="0004454B"/>
    <w:rsid w:val="00044A39"/>
    <w:rsid w:val="00046045"/>
    <w:rsid w:val="00046ACB"/>
    <w:rsid w:val="00047320"/>
    <w:rsid w:val="00051834"/>
    <w:rsid w:val="0005302E"/>
    <w:rsid w:val="00053849"/>
    <w:rsid w:val="00053AB5"/>
    <w:rsid w:val="00054050"/>
    <w:rsid w:val="00054A22"/>
    <w:rsid w:val="00056061"/>
    <w:rsid w:val="0005629B"/>
    <w:rsid w:val="000563F6"/>
    <w:rsid w:val="00060FFF"/>
    <w:rsid w:val="0006336B"/>
    <w:rsid w:val="00063F12"/>
    <w:rsid w:val="000655A6"/>
    <w:rsid w:val="000707F0"/>
    <w:rsid w:val="00072561"/>
    <w:rsid w:val="000728F4"/>
    <w:rsid w:val="00073C98"/>
    <w:rsid w:val="00075DD8"/>
    <w:rsid w:val="000762FA"/>
    <w:rsid w:val="00076445"/>
    <w:rsid w:val="00080512"/>
    <w:rsid w:val="000808DD"/>
    <w:rsid w:val="00081254"/>
    <w:rsid w:val="000812F7"/>
    <w:rsid w:val="000816A6"/>
    <w:rsid w:val="000822F8"/>
    <w:rsid w:val="0008231C"/>
    <w:rsid w:val="00083105"/>
    <w:rsid w:val="00084523"/>
    <w:rsid w:val="00086590"/>
    <w:rsid w:val="00090A78"/>
    <w:rsid w:val="00090E37"/>
    <w:rsid w:val="00091418"/>
    <w:rsid w:val="00092F2A"/>
    <w:rsid w:val="0009473E"/>
    <w:rsid w:val="000953E9"/>
    <w:rsid w:val="000955FF"/>
    <w:rsid w:val="00097F06"/>
    <w:rsid w:val="000A37F5"/>
    <w:rsid w:val="000A45F7"/>
    <w:rsid w:val="000A4959"/>
    <w:rsid w:val="000A5044"/>
    <w:rsid w:val="000A52F1"/>
    <w:rsid w:val="000A5C5F"/>
    <w:rsid w:val="000B06B8"/>
    <w:rsid w:val="000B2C00"/>
    <w:rsid w:val="000B6FBC"/>
    <w:rsid w:val="000C1CD5"/>
    <w:rsid w:val="000C3743"/>
    <w:rsid w:val="000C3BB2"/>
    <w:rsid w:val="000C4A12"/>
    <w:rsid w:val="000C64BE"/>
    <w:rsid w:val="000C689D"/>
    <w:rsid w:val="000D0D1A"/>
    <w:rsid w:val="000D58AB"/>
    <w:rsid w:val="000D7F17"/>
    <w:rsid w:val="000E5697"/>
    <w:rsid w:val="000E7002"/>
    <w:rsid w:val="000E77EE"/>
    <w:rsid w:val="000F0C56"/>
    <w:rsid w:val="000F1E5E"/>
    <w:rsid w:val="000F20CD"/>
    <w:rsid w:val="000F38A1"/>
    <w:rsid w:val="000F4ED2"/>
    <w:rsid w:val="000F56D0"/>
    <w:rsid w:val="000F7EBA"/>
    <w:rsid w:val="00100CAC"/>
    <w:rsid w:val="00101638"/>
    <w:rsid w:val="0010167B"/>
    <w:rsid w:val="00101A1C"/>
    <w:rsid w:val="001023D9"/>
    <w:rsid w:val="00103453"/>
    <w:rsid w:val="00103BD0"/>
    <w:rsid w:val="00106255"/>
    <w:rsid w:val="00106855"/>
    <w:rsid w:val="001069A6"/>
    <w:rsid w:val="00106A07"/>
    <w:rsid w:val="00106DB2"/>
    <w:rsid w:val="00107266"/>
    <w:rsid w:val="0011183D"/>
    <w:rsid w:val="00112C3C"/>
    <w:rsid w:val="001141C1"/>
    <w:rsid w:val="00115212"/>
    <w:rsid w:val="001204F9"/>
    <w:rsid w:val="00121511"/>
    <w:rsid w:val="0012287F"/>
    <w:rsid w:val="0012359A"/>
    <w:rsid w:val="00126A02"/>
    <w:rsid w:val="001274F9"/>
    <w:rsid w:val="00127C62"/>
    <w:rsid w:val="00132383"/>
    <w:rsid w:val="00133650"/>
    <w:rsid w:val="00134F87"/>
    <w:rsid w:val="00136C8F"/>
    <w:rsid w:val="0014083B"/>
    <w:rsid w:val="00142F60"/>
    <w:rsid w:val="00146CFB"/>
    <w:rsid w:val="00150BC5"/>
    <w:rsid w:val="00150BFD"/>
    <w:rsid w:val="001516E4"/>
    <w:rsid w:val="001525CC"/>
    <w:rsid w:val="00154F2C"/>
    <w:rsid w:val="00156AA0"/>
    <w:rsid w:val="00157E7A"/>
    <w:rsid w:val="0016112E"/>
    <w:rsid w:val="00161B79"/>
    <w:rsid w:val="001622C3"/>
    <w:rsid w:val="001653CC"/>
    <w:rsid w:val="00170369"/>
    <w:rsid w:val="0017357E"/>
    <w:rsid w:val="00173840"/>
    <w:rsid w:val="00174F23"/>
    <w:rsid w:val="00176BF3"/>
    <w:rsid w:val="001773AC"/>
    <w:rsid w:val="0018047C"/>
    <w:rsid w:val="0018173F"/>
    <w:rsid w:val="00183240"/>
    <w:rsid w:val="001901F2"/>
    <w:rsid w:val="001907A8"/>
    <w:rsid w:val="00190E5A"/>
    <w:rsid w:val="00191EBE"/>
    <w:rsid w:val="001978D7"/>
    <w:rsid w:val="00197998"/>
    <w:rsid w:val="001A0E61"/>
    <w:rsid w:val="001A170B"/>
    <w:rsid w:val="001A33AB"/>
    <w:rsid w:val="001A3706"/>
    <w:rsid w:val="001A3EC1"/>
    <w:rsid w:val="001A7286"/>
    <w:rsid w:val="001A7674"/>
    <w:rsid w:val="001A7FF6"/>
    <w:rsid w:val="001B1E48"/>
    <w:rsid w:val="001B2707"/>
    <w:rsid w:val="001B5627"/>
    <w:rsid w:val="001B5889"/>
    <w:rsid w:val="001B5C81"/>
    <w:rsid w:val="001B71DD"/>
    <w:rsid w:val="001B7E53"/>
    <w:rsid w:val="001C097C"/>
    <w:rsid w:val="001C0E9A"/>
    <w:rsid w:val="001C1FFF"/>
    <w:rsid w:val="001C5AAC"/>
    <w:rsid w:val="001C5C1A"/>
    <w:rsid w:val="001C5EF5"/>
    <w:rsid w:val="001C73E2"/>
    <w:rsid w:val="001C7DD1"/>
    <w:rsid w:val="001D02C2"/>
    <w:rsid w:val="001D25DA"/>
    <w:rsid w:val="001D3020"/>
    <w:rsid w:val="001D5FA2"/>
    <w:rsid w:val="001D62FF"/>
    <w:rsid w:val="001E1F86"/>
    <w:rsid w:val="001F11C2"/>
    <w:rsid w:val="001F168B"/>
    <w:rsid w:val="001F3A83"/>
    <w:rsid w:val="001F58EE"/>
    <w:rsid w:val="001F5F4B"/>
    <w:rsid w:val="0020160F"/>
    <w:rsid w:val="00202DA0"/>
    <w:rsid w:val="00202EB1"/>
    <w:rsid w:val="00203D5F"/>
    <w:rsid w:val="002045F7"/>
    <w:rsid w:val="00206835"/>
    <w:rsid w:val="002071D3"/>
    <w:rsid w:val="00207ED7"/>
    <w:rsid w:val="00211024"/>
    <w:rsid w:val="00211932"/>
    <w:rsid w:val="002121E4"/>
    <w:rsid w:val="00212C8C"/>
    <w:rsid w:val="00213176"/>
    <w:rsid w:val="00214A77"/>
    <w:rsid w:val="002152CD"/>
    <w:rsid w:val="00222BC8"/>
    <w:rsid w:val="00222EA7"/>
    <w:rsid w:val="00224A3D"/>
    <w:rsid w:val="00225E1F"/>
    <w:rsid w:val="0023080E"/>
    <w:rsid w:val="002318B8"/>
    <w:rsid w:val="00233E5C"/>
    <w:rsid w:val="0023411F"/>
    <w:rsid w:val="002347A2"/>
    <w:rsid w:val="00234EE6"/>
    <w:rsid w:val="00235478"/>
    <w:rsid w:val="0023761E"/>
    <w:rsid w:val="00237D65"/>
    <w:rsid w:val="00240A64"/>
    <w:rsid w:val="00240ADE"/>
    <w:rsid w:val="002432FD"/>
    <w:rsid w:val="002461ED"/>
    <w:rsid w:val="00247216"/>
    <w:rsid w:val="002510A7"/>
    <w:rsid w:val="00252EEB"/>
    <w:rsid w:val="00254D28"/>
    <w:rsid w:val="0025681D"/>
    <w:rsid w:val="0025777D"/>
    <w:rsid w:val="002635AF"/>
    <w:rsid w:val="00264D6A"/>
    <w:rsid w:val="00266662"/>
    <w:rsid w:val="00266891"/>
    <w:rsid w:val="00266CF5"/>
    <w:rsid w:val="00267FF9"/>
    <w:rsid w:val="002707D3"/>
    <w:rsid w:val="00270A7F"/>
    <w:rsid w:val="00273854"/>
    <w:rsid w:val="0027559C"/>
    <w:rsid w:val="0027783A"/>
    <w:rsid w:val="002802E9"/>
    <w:rsid w:val="002806CE"/>
    <w:rsid w:val="00281213"/>
    <w:rsid w:val="002846BA"/>
    <w:rsid w:val="00285829"/>
    <w:rsid w:val="00285CBC"/>
    <w:rsid w:val="002916B9"/>
    <w:rsid w:val="002917F8"/>
    <w:rsid w:val="0029188E"/>
    <w:rsid w:val="002936A2"/>
    <w:rsid w:val="00293F69"/>
    <w:rsid w:val="00294103"/>
    <w:rsid w:val="0029651F"/>
    <w:rsid w:val="002A1878"/>
    <w:rsid w:val="002A6A2F"/>
    <w:rsid w:val="002B0088"/>
    <w:rsid w:val="002B0AFA"/>
    <w:rsid w:val="002B4995"/>
    <w:rsid w:val="002B49A4"/>
    <w:rsid w:val="002B72D2"/>
    <w:rsid w:val="002C1656"/>
    <w:rsid w:val="002C2E97"/>
    <w:rsid w:val="002C3C2A"/>
    <w:rsid w:val="002C723B"/>
    <w:rsid w:val="002D1FFE"/>
    <w:rsid w:val="002D743A"/>
    <w:rsid w:val="002E0614"/>
    <w:rsid w:val="002E37DF"/>
    <w:rsid w:val="002E4245"/>
    <w:rsid w:val="002E663B"/>
    <w:rsid w:val="002F00BD"/>
    <w:rsid w:val="002F061B"/>
    <w:rsid w:val="002F3E28"/>
    <w:rsid w:val="002F611F"/>
    <w:rsid w:val="002F64DB"/>
    <w:rsid w:val="002F6727"/>
    <w:rsid w:val="003012F7"/>
    <w:rsid w:val="003017C0"/>
    <w:rsid w:val="0030374A"/>
    <w:rsid w:val="00303B7F"/>
    <w:rsid w:val="00303EB9"/>
    <w:rsid w:val="00304762"/>
    <w:rsid w:val="0030568F"/>
    <w:rsid w:val="003062B4"/>
    <w:rsid w:val="0030759C"/>
    <w:rsid w:val="00310E99"/>
    <w:rsid w:val="00312595"/>
    <w:rsid w:val="00316EE9"/>
    <w:rsid w:val="003172DC"/>
    <w:rsid w:val="00317C4F"/>
    <w:rsid w:val="00317F1D"/>
    <w:rsid w:val="00317FD4"/>
    <w:rsid w:val="003232DA"/>
    <w:rsid w:val="00323C4C"/>
    <w:rsid w:val="003241D3"/>
    <w:rsid w:val="003256C5"/>
    <w:rsid w:val="00326122"/>
    <w:rsid w:val="003271E3"/>
    <w:rsid w:val="00330B7E"/>
    <w:rsid w:val="00331E55"/>
    <w:rsid w:val="00333016"/>
    <w:rsid w:val="00335531"/>
    <w:rsid w:val="0034241B"/>
    <w:rsid w:val="003457E6"/>
    <w:rsid w:val="00347CD9"/>
    <w:rsid w:val="00351D3D"/>
    <w:rsid w:val="003534EA"/>
    <w:rsid w:val="003538BF"/>
    <w:rsid w:val="00353F00"/>
    <w:rsid w:val="0035462D"/>
    <w:rsid w:val="00356428"/>
    <w:rsid w:val="00357015"/>
    <w:rsid w:val="003606FF"/>
    <w:rsid w:val="003608D7"/>
    <w:rsid w:val="00361130"/>
    <w:rsid w:val="0036686F"/>
    <w:rsid w:val="00366EBA"/>
    <w:rsid w:val="00370C94"/>
    <w:rsid w:val="003741B4"/>
    <w:rsid w:val="00376EE3"/>
    <w:rsid w:val="003779F9"/>
    <w:rsid w:val="00377F14"/>
    <w:rsid w:val="00383095"/>
    <w:rsid w:val="0038451F"/>
    <w:rsid w:val="003848B9"/>
    <w:rsid w:val="0039252A"/>
    <w:rsid w:val="00393819"/>
    <w:rsid w:val="00394662"/>
    <w:rsid w:val="00395BA3"/>
    <w:rsid w:val="00396BEF"/>
    <w:rsid w:val="003A035D"/>
    <w:rsid w:val="003A277E"/>
    <w:rsid w:val="003A307C"/>
    <w:rsid w:val="003B37D9"/>
    <w:rsid w:val="003B64AE"/>
    <w:rsid w:val="003C1964"/>
    <w:rsid w:val="003C2996"/>
    <w:rsid w:val="003C29B5"/>
    <w:rsid w:val="003C2E99"/>
    <w:rsid w:val="003C361E"/>
    <w:rsid w:val="003C3946"/>
    <w:rsid w:val="003C3971"/>
    <w:rsid w:val="003C58C3"/>
    <w:rsid w:val="003D0E55"/>
    <w:rsid w:val="003D12D2"/>
    <w:rsid w:val="003D220C"/>
    <w:rsid w:val="003D2B19"/>
    <w:rsid w:val="003D41D2"/>
    <w:rsid w:val="003D4E35"/>
    <w:rsid w:val="003D580B"/>
    <w:rsid w:val="003D5FE8"/>
    <w:rsid w:val="003D7CD2"/>
    <w:rsid w:val="003E218A"/>
    <w:rsid w:val="003E403B"/>
    <w:rsid w:val="003E43EF"/>
    <w:rsid w:val="003E44AF"/>
    <w:rsid w:val="003E4555"/>
    <w:rsid w:val="003E51F4"/>
    <w:rsid w:val="003E559D"/>
    <w:rsid w:val="003F089B"/>
    <w:rsid w:val="003F1E0E"/>
    <w:rsid w:val="003F6129"/>
    <w:rsid w:val="00400540"/>
    <w:rsid w:val="00403CEA"/>
    <w:rsid w:val="00404657"/>
    <w:rsid w:val="004053FA"/>
    <w:rsid w:val="0041014C"/>
    <w:rsid w:val="00410B4D"/>
    <w:rsid w:val="00412B25"/>
    <w:rsid w:val="00414E96"/>
    <w:rsid w:val="0041591B"/>
    <w:rsid w:val="00417D34"/>
    <w:rsid w:val="00417DEE"/>
    <w:rsid w:val="004206D4"/>
    <w:rsid w:val="004275DE"/>
    <w:rsid w:val="004315E3"/>
    <w:rsid w:val="0043209A"/>
    <w:rsid w:val="00433077"/>
    <w:rsid w:val="004334A7"/>
    <w:rsid w:val="00433750"/>
    <w:rsid w:val="00435E9A"/>
    <w:rsid w:val="00436156"/>
    <w:rsid w:val="00437FA6"/>
    <w:rsid w:val="00441784"/>
    <w:rsid w:val="004424A1"/>
    <w:rsid w:val="00443245"/>
    <w:rsid w:val="00443DFA"/>
    <w:rsid w:val="00445202"/>
    <w:rsid w:val="004456C6"/>
    <w:rsid w:val="00445BAC"/>
    <w:rsid w:val="00446295"/>
    <w:rsid w:val="00447E4F"/>
    <w:rsid w:val="00450E5E"/>
    <w:rsid w:val="0045177C"/>
    <w:rsid w:val="00453329"/>
    <w:rsid w:val="00453FB8"/>
    <w:rsid w:val="00456D93"/>
    <w:rsid w:val="0045774D"/>
    <w:rsid w:val="00457990"/>
    <w:rsid w:val="00462F2F"/>
    <w:rsid w:val="00464618"/>
    <w:rsid w:val="004647EB"/>
    <w:rsid w:val="0046575A"/>
    <w:rsid w:val="00467D9B"/>
    <w:rsid w:val="0047088B"/>
    <w:rsid w:val="00473401"/>
    <w:rsid w:val="00473991"/>
    <w:rsid w:val="00473CEA"/>
    <w:rsid w:val="00474930"/>
    <w:rsid w:val="00474BB5"/>
    <w:rsid w:val="0047565F"/>
    <w:rsid w:val="004763DB"/>
    <w:rsid w:val="004765B5"/>
    <w:rsid w:val="0047729F"/>
    <w:rsid w:val="00477B8C"/>
    <w:rsid w:val="00480892"/>
    <w:rsid w:val="0048146B"/>
    <w:rsid w:val="00481942"/>
    <w:rsid w:val="0048580E"/>
    <w:rsid w:val="004908C7"/>
    <w:rsid w:val="00490B8E"/>
    <w:rsid w:val="004924BA"/>
    <w:rsid w:val="00493A49"/>
    <w:rsid w:val="00495418"/>
    <w:rsid w:val="00497F2A"/>
    <w:rsid w:val="004A0AD6"/>
    <w:rsid w:val="004A1502"/>
    <w:rsid w:val="004A1834"/>
    <w:rsid w:val="004A1C35"/>
    <w:rsid w:val="004A1D5E"/>
    <w:rsid w:val="004A2D3F"/>
    <w:rsid w:val="004A34FF"/>
    <w:rsid w:val="004A353F"/>
    <w:rsid w:val="004A573D"/>
    <w:rsid w:val="004A7092"/>
    <w:rsid w:val="004B1C35"/>
    <w:rsid w:val="004B2ECE"/>
    <w:rsid w:val="004B445B"/>
    <w:rsid w:val="004B4E62"/>
    <w:rsid w:val="004B6CCE"/>
    <w:rsid w:val="004B6D1F"/>
    <w:rsid w:val="004C38BC"/>
    <w:rsid w:val="004C3AF9"/>
    <w:rsid w:val="004C4E87"/>
    <w:rsid w:val="004D0B09"/>
    <w:rsid w:val="004D11A2"/>
    <w:rsid w:val="004D22B6"/>
    <w:rsid w:val="004D2A4C"/>
    <w:rsid w:val="004D3578"/>
    <w:rsid w:val="004D4A7D"/>
    <w:rsid w:val="004D4E22"/>
    <w:rsid w:val="004D4F1A"/>
    <w:rsid w:val="004D7E65"/>
    <w:rsid w:val="004E0ACB"/>
    <w:rsid w:val="004E15ED"/>
    <w:rsid w:val="004E18F3"/>
    <w:rsid w:val="004E213A"/>
    <w:rsid w:val="004E5EEA"/>
    <w:rsid w:val="004E7D46"/>
    <w:rsid w:val="004F1FF9"/>
    <w:rsid w:val="004F4A63"/>
    <w:rsid w:val="004F6DAD"/>
    <w:rsid w:val="004F7E6D"/>
    <w:rsid w:val="00500E5C"/>
    <w:rsid w:val="005012F2"/>
    <w:rsid w:val="00502FA9"/>
    <w:rsid w:val="00504317"/>
    <w:rsid w:val="005044A9"/>
    <w:rsid w:val="00506136"/>
    <w:rsid w:val="0050692C"/>
    <w:rsid w:val="00507181"/>
    <w:rsid w:val="0051045A"/>
    <w:rsid w:val="00510918"/>
    <w:rsid w:val="00513B71"/>
    <w:rsid w:val="00516265"/>
    <w:rsid w:val="005163C1"/>
    <w:rsid w:val="00520514"/>
    <w:rsid w:val="00521698"/>
    <w:rsid w:val="00523108"/>
    <w:rsid w:val="005243FA"/>
    <w:rsid w:val="00525948"/>
    <w:rsid w:val="00531A14"/>
    <w:rsid w:val="0053202A"/>
    <w:rsid w:val="00535C93"/>
    <w:rsid w:val="00536186"/>
    <w:rsid w:val="005377B7"/>
    <w:rsid w:val="005402C3"/>
    <w:rsid w:val="0054041B"/>
    <w:rsid w:val="00541CD6"/>
    <w:rsid w:val="00542EA8"/>
    <w:rsid w:val="0054372F"/>
    <w:rsid w:val="00543E6C"/>
    <w:rsid w:val="00545ECF"/>
    <w:rsid w:val="005513CC"/>
    <w:rsid w:val="00552B6A"/>
    <w:rsid w:val="00553FBC"/>
    <w:rsid w:val="0056283F"/>
    <w:rsid w:val="005635D1"/>
    <w:rsid w:val="005648FE"/>
    <w:rsid w:val="00565087"/>
    <w:rsid w:val="00567464"/>
    <w:rsid w:val="00572652"/>
    <w:rsid w:val="00574BB6"/>
    <w:rsid w:val="005755EA"/>
    <w:rsid w:val="00576BF5"/>
    <w:rsid w:val="00577761"/>
    <w:rsid w:val="00584681"/>
    <w:rsid w:val="00586086"/>
    <w:rsid w:val="005863D2"/>
    <w:rsid w:val="00586710"/>
    <w:rsid w:val="00586E27"/>
    <w:rsid w:val="00587232"/>
    <w:rsid w:val="005903E9"/>
    <w:rsid w:val="00591250"/>
    <w:rsid w:val="00593390"/>
    <w:rsid w:val="00594A8E"/>
    <w:rsid w:val="005979D2"/>
    <w:rsid w:val="005A1D1B"/>
    <w:rsid w:val="005A2005"/>
    <w:rsid w:val="005A2684"/>
    <w:rsid w:val="005A2A73"/>
    <w:rsid w:val="005A78A2"/>
    <w:rsid w:val="005B27FD"/>
    <w:rsid w:val="005B64E6"/>
    <w:rsid w:val="005B6654"/>
    <w:rsid w:val="005C0302"/>
    <w:rsid w:val="005C1AB5"/>
    <w:rsid w:val="005C2FD0"/>
    <w:rsid w:val="005C3A45"/>
    <w:rsid w:val="005C51AA"/>
    <w:rsid w:val="005D0D07"/>
    <w:rsid w:val="005D1636"/>
    <w:rsid w:val="005D1C32"/>
    <w:rsid w:val="005D20EC"/>
    <w:rsid w:val="005D2E01"/>
    <w:rsid w:val="005D2EDD"/>
    <w:rsid w:val="005D5D05"/>
    <w:rsid w:val="005E2F35"/>
    <w:rsid w:val="005E53FE"/>
    <w:rsid w:val="005E7B7C"/>
    <w:rsid w:val="005F2252"/>
    <w:rsid w:val="005F29E0"/>
    <w:rsid w:val="005F2AED"/>
    <w:rsid w:val="005F410C"/>
    <w:rsid w:val="005F6FE6"/>
    <w:rsid w:val="0060170D"/>
    <w:rsid w:val="00603167"/>
    <w:rsid w:val="00603C1E"/>
    <w:rsid w:val="00605F71"/>
    <w:rsid w:val="00606690"/>
    <w:rsid w:val="00606887"/>
    <w:rsid w:val="00607374"/>
    <w:rsid w:val="006140B8"/>
    <w:rsid w:val="00614522"/>
    <w:rsid w:val="00614FDF"/>
    <w:rsid w:val="006159B0"/>
    <w:rsid w:val="006177CB"/>
    <w:rsid w:val="00621EA0"/>
    <w:rsid w:val="006220EF"/>
    <w:rsid w:val="006235EC"/>
    <w:rsid w:val="00624A45"/>
    <w:rsid w:val="00631F48"/>
    <w:rsid w:val="00632985"/>
    <w:rsid w:val="00633C48"/>
    <w:rsid w:val="0063404E"/>
    <w:rsid w:val="00634153"/>
    <w:rsid w:val="00634A22"/>
    <w:rsid w:val="00635EE3"/>
    <w:rsid w:val="00642225"/>
    <w:rsid w:val="00643487"/>
    <w:rsid w:val="006436AB"/>
    <w:rsid w:val="00643701"/>
    <w:rsid w:val="0064510E"/>
    <w:rsid w:val="00645590"/>
    <w:rsid w:val="006458F9"/>
    <w:rsid w:val="00646B43"/>
    <w:rsid w:val="00646D91"/>
    <w:rsid w:val="00646FC3"/>
    <w:rsid w:val="0065243D"/>
    <w:rsid w:val="006528A1"/>
    <w:rsid w:val="00652E3E"/>
    <w:rsid w:val="0065306B"/>
    <w:rsid w:val="006536DB"/>
    <w:rsid w:val="00655A8D"/>
    <w:rsid w:val="00656EC7"/>
    <w:rsid w:val="006608F3"/>
    <w:rsid w:val="0066137E"/>
    <w:rsid w:val="00663C94"/>
    <w:rsid w:val="00667E12"/>
    <w:rsid w:val="00670B7E"/>
    <w:rsid w:val="00672860"/>
    <w:rsid w:val="006745F6"/>
    <w:rsid w:val="00674E28"/>
    <w:rsid w:val="00675B38"/>
    <w:rsid w:val="00676795"/>
    <w:rsid w:val="006771B2"/>
    <w:rsid w:val="00680C03"/>
    <w:rsid w:val="00680EDF"/>
    <w:rsid w:val="00685F89"/>
    <w:rsid w:val="00692506"/>
    <w:rsid w:val="00694344"/>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41B4"/>
    <w:rsid w:val="006C53BC"/>
    <w:rsid w:val="006C57F6"/>
    <w:rsid w:val="006C620C"/>
    <w:rsid w:val="006C7E10"/>
    <w:rsid w:val="006D0C5A"/>
    <w:rsid w:val="006D1B53"/>
    <w:rsid w:val="006D4634"/>
    <w:rsid w:val="006D49D5"/>
    <w:rsid w:val="006E2C1F"/>
    <w:rsid w:val="006E3C6B"/>
    <w:rsid w:val="006E4C2E"/>
    <w:rsid w:val="006E5501"/>
    <w:rsid w:val="006E5E00"/>
    <w:rsid w:val="006F0942"/>
    <w:rsid w:val="006F2BAB"/>
    <w:rsid w:val="006F6233"/>
    <w:rsid w:val="006F7A90"/>
    <w:rsid w:val="00703C9B"/>
    <w:rsid w:val="00704222"/>
    <w:rsid w:val="00704481"/>
    <w:rsid w:val="0070508A"/>
    <w:rsid w:val="00705266"/>
    <w:rsid w:val="00705999"/>
    <w:rsid w:val="00706031"/>
    <w:rsid w:val="00710065"/>
    <w:rsid w:val="007118BB"/>
    <w:rsid w:val="00712A0E"/>
    <w:rsid w:val="0071324A"/>
    <w:rsid w:val="00714236"/>
    <w:rsid w:val="007148D6"/>
    <w:rsid w:val="00714ECD"/>
    <w:rsid w:val="00715BEE"/>
    <w:rsid w:val="00726858"/>
    <w:rsid w:val="00727F3F"/>
    <w:rsid w:val="007302A9"/>
    <w:rsid w:val="00730C57"/>
    <w:rsid w:val="007317FC"/>
    <w:rsid w:val="0073291F"/>
    <w:rsid w:val="0073320F"/>
    <w:rsid w:val="00734A5B"/>
    <w:rsid w:val="0074147C"/>
    <w:rsid w:val="00741C03"/>
    <w:rsid w:val="00741C35"/>
    <w:rsid w:val="00742BBA"/>
    <w:rsid w:val="00744B81"/>
    <w:rsid w:val="00744E76"/>
    <w:rsid w:val="00745D23"/>
    <w:rsid w:val="00745E2E"/>
    <w:rsid w:val="00747AA8"/>
    <w:rsid w:val="007509E8"/>
    <w:rsid w:val="00750D14"/>
    <w:rsid w:val="00751442"/>
    <w:rsid w:val="007515B3"/>
    <w:rsid w:val="00751A08"/>
    <w:rsid w:val="0075269B"/>
    <w:rsid w:val="00754686"/>
    <w:rsid w:val="00756B8F"/>
    <w:rsid w:val="00757C26"/>
    <w:rsid w:val="00757FC6"/>
    <w:rsid w:val="007604CD"/>
    <w:rsid w:val="00760F86"/>
    <w:rsid w:val="00761A42"/>
    <w:rsid w:val="00762A0D"/>
    <w:rsid w:val="00763869"/>
    <w:rsid w:val="007646B7"/>
    <w:rsid w:val="0077019F"/>
    <w:rsid w:val="0077079C"/>
    <w:rsid w:val="007708DB"/>
    <w:rsid w:val="0077093E"/>
    <w:rsid w:val="00771268"/>
    <w:rsid w:val="0077187B"/>
    <w:rsid w:val="007727F6"/>
    <w:rsid w:val="00773C5B"/>
    <w:rsid w:val="00774752"/>
    <w:rsid w:val="00777063"/>
    <w:rsid w:val="00781589"/>
    <w:rsid w:val="00781AC9"/>
    <w:rsid w:val="00781F0F"/>
    <w:rsid w:val="00782B5A"/>
    <w:rsid w:val="00783DCF"/>
    <w:rsid w:val="0078433E"/>
    <w:rsid w:val="0078546C"/>
    <w:rsid w:val="007864AC"/>
    <w:rsid w:val="00790B60"/>
    <w:rsid w:val="00793790"/>
    <w:rsid w:val="0079389B"/>
    <w:rsid w:val="00796CD9"/>
    <w:rsid w:val="007A0F27"/>
    <w:rsid w:val="007A35AA"/>
    <w:rsid w:val="007A4EA6"/>
    <w:rsid w:val="007B27FD"/>
    <w:rsid w:val="007B5F5C"/>
    <w:rsid w:val="007C04B8"/>
    <w:rsid w:val="007C5A6F"/>
    <w:rsid w:val="007C6EED"/>
    <w:rsid w:val="007D0F1E"/>
    <w:rsid w:val="007D14AA"/>
    <w:rsid w:val="007D21FC"/>
    <w:rsid w:val="007D43CD"/>
    <w:rsid w:val="007D45D4"/>
    <w:rsid w:val="007D4880"/>
    <w:rsid w:val="007D4E79"/>
    <w:rsid w:val="007E1481"/>
    <w:rsid w:val="007E305C"/>
    <w:rsid w:val="007E3A34"/>
    <w:rsid w:val="007E44EB"/>
    <w:rsid w:val="007E46DC"/>
    <w:rsid w:val="007E6171"/>
    <w:rsid w:val="007E67EC"/>
    <w:rsid w:val="007F0709"/>
    <w:rsid w:val="007F0F7C"/>
    <w:rsid w:val="007F108F"/>
    <w:rsid w:val="007F137C"/>
    <w:rsid w:val="007F186F"/>
    <w:rsid w:val="007F18CF"/>
    <w:rsid w:val="007F20C3"/>
    <w:rsid w:val="007F2F40"/>
    <w:rsid w:val="007F444A"/>
    <w:rsid w:val="008028A4"/>
    <w:rsid w:val="0080603A"/>
    <w:rsid w:val="00807A42"/>
    <w:rsid w:val="00807D86"/>
    <w:rsid w:val="00810707"/>
    <w:rsid w:val="00810812"/>
    <w:rsid w:val="00810A11"/>
    <w:rsid w:val="00814F5B"/>
    <w:rsid w:val="008202B4"/>
    <w:rsid w:val="00820964"/>
    <w:rsid w:val="00822A64"/>
    <w:rsid w:val="0082452A"/>
    <w:rsid w:val="008275A1"/>
    <w:rsid w:val="00831C82"/>
    <w:rsid w:val="00843719"/>
    <w:rsid w:val="00844F6D"/>
    <w:rsid w:val="00847945"/>
    <w:rsid w:val="00850F4D"/>
    <w:rsid w:val="00855ED1"/>
    <w:rsid w:val="00857349"/>
    <w:rsid w:val="0086080B"/>
    <w:rsid w:val="00860817"/>
    <w:rsid w:val="00860BBA"/>
    <w:rsid w:val="008618A5"/>
    <w:rsid w:val="00861F7D"/>
    <w:rsid w:val="00862C1F"/>
    <w:rsid w:val="00864885"/>
    <w:rsid w:val="008651B7"/>
    <w:rsid w:val="0087333D"/>
    <w:rsid w:val="008751C5"/>
    <w:rsid w:val="008768CA"/>
    <w:rsid w:val="00877EAD"/>
    <w:rsid w:val="00880CBD"/>
    <w:rsid w:val="00882EC3"/>
    <w:rsid w:val="00883148"/>
    <w:rsid w:val="00887789"/>
    <w:rsid w:val="0089110A"/>
    <w:rsid w:val="00891F56"/>
    <w:rsid w:val="00895380"/>
    <w:rsid w:val="008958D5"/>
    <w:rsid w:val="00895A55"/>
    <w:rsid w:val="0089742B"/>
    <w:rsid w:val="008A1738"/>
    <w:rsid w:val="008A7D11"/>
    <w:rsid w:val="008B30C8"/>
    <w:rsid w:val="008B3A70"/>
    <w:rsid w:val="008B4778"/>
    <w:rsid w:val="008B485B"/>
    <w:rsid w:val="008B7ED1"/>
    <w:rsid w:val="008C0F7E"/>
    <w:rsid w:val="008C2488"/>
    <w:rsid w:val="008C3D36"/>
    <w:rsid w:val="008C44B1"/>
    <w:rsid w:val="008D1852"/>
    <w:rsid w:val="008D3FA4"/>
    <w:rsid w:val="008D5DAF"/>
    <w:rsid w:val="008D64C4"/>
    <w:rsid w:val="008E002E"/>
    <w:rsid w:val="008E0B29"/>
    <w:rsid w:val="008E1264"/>
    <w:rsid w:val="008E2C75"/>
    <w:rsid w:val="008E39E6"/>
    <w:rsid w:val="008E3E0E"/>
    <w:rsid w:val="008E5440"/>
    <w:rsid w:val="008E6781"/>
    <w:rsid w:val="008E7E6A"/>
    <w:rsid w:val="008F0D50"/>
    <w:rsid w:val="008F0EFD"/>
    <w:rsid w:val="008F2068"/>
    <w:rsid w:val="008F2B49"/>
    <w:rsid w:val="008F33B3"/>
    <w:rsid w:val="008F7474"/>
    <w:rsid w:val="00900C2C"/>
    <w:rsid w:val="0090271F"/>
    <w:rsid w:val="00902E23"/>
    <w:rsid w:val="009032F4"/>
    <w:rsid w:val="00906ACB"/>
    <w:rsid w:val="0090790C"/>
    <w:rsid w:val="00907E50"/>
    <w:rsid w:val="009118CC"/>
    <w:rsid w:val="0091348E"/>
    <w:rsid w:val="00915E81"/>
    <w:rsid w:val="00915F79"/>
    <w:rsid w:val="009163B4"/>
    <w:rsid w:val="00917317"/>
    <w:rsid w:val="00920012"/>
    <w:rsid w:val="00920288"/>
    <w:rsid w:val="00920B66"/>
    <w:rsid w:val="0092220C"/>
    <w:rsid w:val="009230FD"/>
    <w:rsid w:val="00924B4D"/>
    <w:rsid w:val="0092634B"/>
    <w:rsid w:val="00931703"/>
    <w:rsid w:val="00931EAD"/>
    <w:rsid w:val="00931F61"/>
    <w:rsid w:val="00932485"/>
    <w:rsid w:val="0093324B"/>
    <w:rsid w:val="009333F5"/>
    <w:rsid w:val="0093397F"/>
    <w:rsid w:val="009340DA"/>
    <w:rsid w:val="00937279"/>
    <w:rsid w:val="00937B74"/>
    <w:rsid w:val="00937C97"/>
    <w:rsid w:val="00937DFB"/>
    <w:rsid w:val="00940B65"/>
    <w:rsid w:val="00941EFC"/>
    <w:rsid w:val="00942EC2"/>
    <w:rsid w:val="009447EB"/>
    <w:rsid w:val="00944811"/>
    <w:rsid w:val="009456B0"/>
    <w:rsid w:val="00947CBF"/>
    <w:rsid w:val="009539BF"/>
    <w:rsid w:val="00954014"/>
    <w:rsid w:val="0096201A"/>
    <w:rsid w:val="00963D05"/>
    <w:rsid w:val="009722E7"/>
    <w:rsid w:val="00973FA8"/>
    <w:rsid w:val="00974D0B"/>
    <w:rsid w:val="0098134B"/>
    <w:rsid w:val="00985B52"/>
    <w:rsid w:val="00986342"/>
    <w:rsid w:val="0099057B"/>
    <w:rsid w:val="0099131A"/>
    <w:rsid w:val="0099167F"/>
    <w:rsid w:val="009926D2"/>
    <w:rsid w:val="009929D8"/>
    <w:rsid w:val="00992E1C"/>
    <w:rsid w:val="009934A5"/>
    <w:rsid w:val="00997966"/>
    <w:rsid w:val="00997AF1"/>
    <w:rsid w:val="009A0512"/>
    <w:rsid w:val="009A0DE2"/>
    <w:rsid w:val="009A1923"/>
    <w:rsid w:val="009A1D9E"/>
    <w:rsid w:val="009A6162"/>
    <w:rsid w:val="009B1DEF"/>
    <w:rsid w:val="009B2B51"/>
    <w:rsid w:val="009B3096"/>
    <w:rsid w:val="009B3D5A"/>
    <w:rsid w:val="009C02F0"/>
    <w:rsid w:val="009C26FA"/>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F01B5"/>
    <w:rsid w:val="009F0F2B"/>
    <w:rsid w:val="009F37B7"/>
    <w:rsid w:val="009F46DA"/>
    <w:rsid w:val="009F6CCB"/>
    <w:rsid w:val="00A0148D"/>
    <w:rsid w:val="00A025F2"/>
    <w:rsid w:val="00A0538F"/>
    <w:rsid w:val="00A06F4E"/>
    <w:rsid w:val="00A10F02"/>
    <w:rsid w:val="00A127FE"/>
    <w:rsid w:val="00A1364D"/>
    <w:rsid w:val="00A153D2"/>
    <w:rsid w:val="00A15F96"/>
    <w:rsid w:val="00A164B4"/>
    <w:rsid w:val="00A2144C"/>
    <w:rsid w:val="00A224F8"/>
    <w:rsid w:val="00A238F7"/>
    <w:rsid w:val="00A26F53"/>
    <w:rsid w:val="00A277CD"/>
    <w:rsid w:val="00A320AC"/>
    <w:rsid w:val="00A3688E"/>
    <w:rsid w:val="00A36C6D"/>
    <w:rsid w:val="00A37C6D"/>
    <w:rsid w:val="00A415F7"/>
    <w:rsid w:val="00A4187B"/>
    <w:rsid w:val="00A42069"/>
    <w:rsid w:val="00A43D53"/>
    <w:rsid w:val="00A4501C"/>
    <w:rsid w:val="00A45B25"/>
    <w:rsid w:val="00A468D0"/>
    <w:rsid w:val="00A4714A"/>
    <w:rsid w:val="00A476E4"/>
    <w:rsid w:val="00A53724"/>
    <w:rsid w:val="00A560C9"/>
    <w:rsid w:val="00A57A66"/>
    <w:rsid w:val="00A6096A"/>
    <w:rsid w:val="00A60A97"/>
    <w:rsid w:val="00A62BEB"/>
    <w:rsid w:val="00A63497"/>
    <w:rsid w:val="00A64348"/>
    <w:rsid w:val="00A65C1C"/>
    <w:rsid w:val="00A67DE9"/>
    <w:rsid w:val="00A70269"/>
    <w:rsid w:val="00A715E1"/>
    <w:rsid w:val="00A743F2"/>
    <w:rsid w:val="00A74BAF"/>
    <w:rsid w:val="00A763C4"/>
    <w:rsid w:val="00A76F0C"/>
    <w:rsid w:val="00A80C54"/>
    <w:rsid w:val="00A82346"/>
    <w:rsid w:val="00A829D3"/>
    <w:rsid w:val="00A82B64"/>
    <w:rsid w:val="00A8318D"/>
    <w:rsid w:val="00A85F23"/>
    <w:rsid w:val="00A86AE6"/>
    <w:rsid w:val="00A8768C"/>
    <w:rsid w:val="00A90443"/>
    <w:rsid w:val="00A91300"/>
    <w:rsid w:val="00A91771"/>
    <w:rsid w:val="00A9185A"/>
    <w:rsid w:val="00A91CE4"/>
    <w:rsid w:val="00A9542F"/>
    <w:rsid w:val="00A9565C"/>
    <w:rsid w:val="00A9571C"/>
    <w:rsid w:val="00A96132"/>
    <w:rsid w:val="00A977EE"/>
    <w:rsid w:val="00AA00AC"/>
    <w:rsid w:val="00AA0369"/>
    <w:rsid w:val="00AA30F4"/>
    <w:rsid w:val="00AA384B"/>
    <w:rsid w:val="00AA460F"/>
    <w:rsid w:val="00AA69C8"/>
    <w:rsid w:val="00AB24C1"/>
    <w:rsid w:val="00AB2A60"/>
    <w:rsid w:val="00AB3031"/>
    <w:rsid w:val="00AB3250"/>
    <w:rsid w:val="00AB3FDD"/>
    <w:rsid w:val="00AB75E5"/>
    <w:rsid w:val="00AC638F"/>
    <w:rsid w:val="00AC6744"/>
    <w:rsid w:val="00AC7CEA"/>
    <w:rsid w:val="00AD0A47"/>
    <w:rsid w:val="00AD0A7C"/>
    <w:rsid w:val="00AD0BB5"/>
    <w:rsid w:val="00AD0E07"/>
    <w:rsid w:val="00AD1696"/>
    <w:rsid w:val="00AD1D3E"/>
    <w:rsid w:val="00AD52D2"/>
    <w:rsid w:val="00AD5374"/>
    <w:rsid w:val="00AD5B8F"/>
    <w:rsid w:val="00AD78C7"/>
    <w:rsid w:val="00AE068D"/>
    <w:rsid w:val="00AE1ECE"/>
    <w:rsid w:val="00AE26DC"/>
    <w:rsid w:val="00AE4EF6"/>
    <w:rsid w:val="00AF2F47"/>
    <w:rsid w:val="00B007BB"/>
    <w:rsid w:val="00B01F1E"/>
    <w:rsid w:val="00B05104"/>
    <w:rsid w:val="00B06E27"/>
    <w:rsid w:val="00B071A2"/>
    <w:rsid w:val="00B15361"/>
    <w:rsid w:val="00B15449"/>
    <w:rsid w:val="00B15C58"/>
    <w:rsid w:val="00B20248"/>
    <w:rsid w:val="00B210A3"/>
    <w:rsid w:val="00B224E0"/>
    <w:rsid w:val="00B23B59"/>
    <w:rsid w:val="00B25008"/>
    <w:rsid w:val="00B25370"/>
    <w:rsid w:val="00B27613"/>
    <w:rsid w:val="00B333A2"/>
    <w:rsid w:val="00B3527F"/>
    <w:rsid w:val="00B35780"/>
    <w:rsid w:val="00B40273"/>
    <w:rsid w:val="00B4054B"/>
    <w:rsid w:val="00B4350A"/>
    <w:rsid w:val="00B44277"/>
    <w:rsid w:val="00B455AB"/>
    <w:rsid w:val="00B47AE0"/>
    <w:rsid w:val="00B51475"/>
    <w:rsid w:val="00B5233E"/>
    <w:rsid w:val="00B52CCA"/>
    <w:rsid w:val="00B563EB"/>
    <w:rsid w:val="00B6005E"/>
    <w:rsid w:val="00B70BAB"/>
    <w:rsid w:val="00B807C1"/>
    <w:rsid w:val="00B81055"/>
    <w:rsid w:val="00B829F6"/>
    <w:rsid w:val="00B82DFC"/>
    <w:rsid w:val="00B82FB4"/>
    <w:rsid w:val="00B85525"/>
    <w:rsid w:val="00B85C83"/>
    <w:rsid w:val="00B86197"/>
    <w:rsid w:val="00B86DB1"/>
    <w:rsid w:val="00B87053"/>
    <w:rsid w:val="00B90A43"/>
    <w:rsid w:val="00B94BF8"/>
    <w:rsid w:val="00B97187"/>
    <w:rsid w:val="00B97CE5"/>
    <w:rsid w:val="00BA28F5"/>
    <w:rsid w:val="00BA3C41"/>
    <w:rsid w:val="00BA4736"/>
    <w:rsid w:val="00BA68A2"/>
    <w:rsid w:val="00BB1C69"/>
    <w:rsid w:val="00BB26A7"/>
    <w:rsid w:val="00BB2B8C"/>
    <w:rsid w:val="00BB346B"/>
    <w:rsid w:val="00BB6113"/>
    <w:rsid w:val="00BC0F7D"/>
    <w:rsid w:val="00BC17DD"/>
    <w:rsid w:val="00BC2BB1"/>
    <w:rsid w:val="00BC3ADF"/>
    <w:rsid w:val="00BC4770"/>
    <w:rsid w:val="00BC4C17"/>
    <w:rsid w:val="00BC5E2C"/>
    <w:rsid w:val="00BC5E58"/>
    <w:rsid w:val="00BD14F5"/>
    <w:rsid w:val="00BD20FE"/>
    <w:rsid w:val="00BD4485"/>
    <w:rsid w:val="00BD5105"/>
    <w:rsid w:val="00BD55CA"/>
    <w:rsid w:val="00BE13B8"/>
    <w:rsid w:val="00BE22AA"/>
    <w:rsid w:val="00BE40BE"/>
    <w:rsid w:val="00BE40F4"/>
    <w:rsid w:val="00BE53CA"/>
    <w:rsid w:val="00BE735A"/>
    <w:rsid w:val="00BE79A5"/>
    <w:rsid w:val="00BF1F2D"/>
    <w:rsid w:val="00BF33C4"/>
    <w:rsid w:val="00BF3668"/>
    <w:rsid w:val="00BF5F7B"/>
    <w:rsid w:val="00BF5FA0"/>
    <w:rsid w:val="00BF6896"/>
    <w:rsid w:val="00C00A49"/>
    <w:rsid w:val="00C05A28"/>
    <w:rsid w:val="00C05E43"/>
    <w:rsid w:val="00C073A3"/>
    <w:rsid w:val="00C07B23"/>
    <w:rsid w:val="00C10AA4"/>
    <w:rsid w:val="00C13F15"/>
    <w:rsid w:val="00C14615"/>
    <w:rsid w:val="00C14BC3"/>
    <w:rsid w:val="00C15A93"/>
    <w:rsid w:val="00C15BFE"/>
    <w:rsid w:val="00C2199C"/>
    <w:rsid w:val="00C229B6"/>
    <w:rsid w:val="00C22BA8"/>
    <w:rsid w:val="00C22D00"/>
    <w:rsid w:val="00C22DBC"/>
    <w:rsid w:val="00C24D9B"/>
    <w:rsid w:val="00C253CC"/>
    <w:rsid w:val="00C259C3"/>
    <w:rsid w:val="00C271D4"/>
    <w:rsid w:val="00C2798D"/>
    <w:rsid w:val="00C302E3"/>
    <w:rsid w:val="00C303A1"/>
    <w:rsid w:val="00C30450"/>
    <w:rsid w:val="00C32D1F"/>
    <w:rsid w:val="00C32F9F"/>
    <w:rsid w:val="00C33079"/>
    <w:rsid w:val="00C35DC7"/>
    <w:rsid w:val="00C36378"/>
    <w:rsid w:val="00C434DB"/>
    <w:rsid w:val="00C438B9"/>
    <w:rsid w:val="00C44302"/>
    <w:rsid w:val="00C4439A"/>
    <w:rsid w:val="00C45231"/>
    <w:rsid w:val="00C51952"/>
    <w:rsid w:val="00C60621"/>
    <w:rsid w:val="00C61D54"/>
    <w:rsid w:val="00C6238E"/>
    <w:rsid w:val="00C63919"/>
    <w:rsid w:val="00C67665"/>
    <w:rsid w:val="00C70847"/>
    <w:rsid w:val="00C71325"/>
    <w:rsid w:val="00C72037"/>
    <w:rsid w:val="00C72833"/>
    <w:rsid w:val="00C7326B"/>
    <w:rsid w:val="00C733BD"/>
    <w:rsid w:val="00C75A92"/>
    <w:rsid w:val="00C76BF0"/>
    <w:rsid w:val="00C7733C"/>
    <w:rsid w:val="00C77CB7"/>
    <w:rsid w:val="00C810FE"/>
    <w:rsid w:val="00C81D9E"/>
    <w:rsid w:val="00C824E1"/>
    <w:rsid w:val="00C829B3"/>
    <w:rsid w:val="00C85252"/>
    <w:rsid w:val="00C8566F"/>
    <w:rsid w:val="00C867FE"/>
    <w:rsid w:val="00C869E7"/>
    <w:rsid w:val="00C86D04"/>
    <w:rsid w:val="00C874E3"/>
    <w:rsid w:val="00C87FA4"/>
    <w:rsid w:val="00C92916"/>
    <w:rsid w:val="00C93F40"/>
    <w:rsid w:val="00C9416B"/>
    <w:rsid w:val="00C95849"/>
    <w:rsid w:val="00C96BA2"/>
    <w:rsid w:val="00CA04BC"/>
    <w:rsid w:val="00CA096C"/>
    <w:rsid w:val="00CA127A"/>
    <w:rsid w:val="00CA2AF4"/>
    <w:rsid w:val="00CA3D0C"/>
    <w:rsid w:val="00CA5448"/>
    <w:rsid w:val="00CA64D4"/>
    <w:rsid w:val="00CB15DF"/>
    <w:rsid w:val="00CB43BA"/>
    <w:rsid w:val="00CB71C0"/>
    <w:rsid w:val="00CC036E"/>
    <w:rsid w:val="00CC2225"/>
    <w:rsid w:val="00CC3B05"/>
    <w:rsid w:val="00CC3F92"/>
    <w:rsid w:val="00CC61DB"/>
    <w:rsid w:val="00CC75FD"/>
    <w:rsid w:val="00CD10C0"/>
    <w:rsid w:val="00CD3735"/>
    <w:rsid w:val="00CD63ED"/>
    <w:rsid w:val="00CE1AE5"/>
    <w:rsid w:val="00CE1B8D"/>
    <w:rsid w:val="00CE326B"/>
    <w:rsid w:val="00CE499A"/>
    <w:rsid w:val="00CE4DA4"/>
    <w:rsid w:val="00CE57CF"/>
    <w:rsid w:val="00CF00DA"/>
    <w:rsid w:val="00CF1082"/>
    <w:rsid w:val="00CF14C7"/>
    <w:rsid w:val="00CF6E3C"/>
    <w:rsid w:val="00CF6E6C"/>
    <w:rsid w:val="00D01163"/>
    <w:rsid w:val="00D0254F"/>
    <w:rsid w:val="00D038AE"/>
    <w:rsid w:val="00D0567A"/>
    <w:rsid w:val="00D05DD2"/>
    <w:rsid w:val="00D05E99"/>
    <w:rsid w:val="00D0609C"/>
    <w:rsid w:val="00D0700B"/>
    <w:rsid w:val="00D1127D"/>
    <w:rsid w:val="00D12B5D"/>
    <w:rsid w:val="00D12F59"/>
    <w:rsid w:val="00D130BC"/>
    <w:rsid w:val="00D150C4"/>
    <w:rsid w:val="00D15A08"/>
    <w:rsid w:val="00D217A6"/>
    <w:rsid w:val="00D21B50"/>
    <w:rsid w:val="00D22758"/>
    <w:rsid w:val="00D2340F"/>
    <w:rsid w:val="00D24C55"/>
    <w:rsid w:val="00D2578C"/>
    <w:rsid w:val="00D25D32"/>
    <w:rsid w:val="00D263D9"/>
    <w:rsid w:val="00D31665"/>
    <w:rsid w:val="00D31932"/>
    <w:rsid w:val="00D32C58"/>
    <w:rsid w:val="00D34F13"/>
    <w:rsid w:val="00D353B9"/>
    <w:rsid w:val="00D3580A"/>
    <w:rsid w:val="00D35F51"/>
    <w:rsid w:val="00D375DE"/>
    <w:rsid w:val="00D4070F"/>
    <w:rsid w:val="00D409BE"/>
    <w:rsid w:val="00D40BD2"/>
    <w:rsid w:val="00D41AF1"/>
    <w:rsid w:val="00D429FD"/>
    <w:rsid w:val="00D42EE5"/>
    <w:rsid w:val="00D4400E"/>
    <w:rsid w:val="00D464D0"/>
    <w:rsid w:val="00D47B6B"/>
    <w:rsid w:val="00D511CB"/>
    <w:rsid w:val="00D52878"/>
    <w:rsid w:val="00D52FDC"/>
    <w:rsid w:val="00D53504"/>
    <w:rsid w:val="00D54347"/>
    <w:rsid w:val="00D55AE9"/>
    <w:rsid w:val="00D5619B"/>
    <w:rsid w:val="00D56223"/>
    <w:rsid w:val="00D61FFC"/>
    <w:rsid w:val="00D6289E"/>
    <w:rsid w:val="00D62E41"/>
    <w:rsid w:val="00D63CF8"/>
    <w:rsid w:val="00D65409"/>
    <w:rsid w:val="00D67ED7"/>
    <w:rsid w:val="00D73502"/>
    <w:rsid w:val="00D735B5"/>
    <w:rsid w:val="00D738D6"/>
    <w:rsid w:val="00D755EB"/>
    <w:rsid w:val="00D76655"/>
    <w:rsid w:val="00D809AA"/>
    <w:rsid w:val="00D80CD6"/>
    <w:rsid w:val="00D841D8"/>
    <w:rsid w:val="00D866D1"/>
    <w:rsid w:val="00D86EA3"/>
    <w:rsid w:val="00D8774A"/>
    <w:rsid w:val="00D87E00"/>
    <w:rsid w:val="00D9134D"/>
    <w:rsid w:val="00D91F15"/>
    <w:rsid w:val="00D93BAB"/>
    <w:rsid w:val="00D944E4"/>
    <w:rsid w:val="00D957B2"/>
    <w:rsid w:val="00D968FA"/>
    <w:rsid w:val="00DA0251"/>
    <w:rsid w:val="00DA028B"/>
    <w:rsid w:val="00DA6A45"/>
    <w:rsid w:val="00DA6C8B"/>
    <w:rsid w:val="00DA7A03"/>
    <w:rsid w:val="00DB0CD2"/>
    <w:rsid w:val="00DB1818"/>
    <w:rsid w:val="00DB42A3"/>
    <w:rsid w:val="00DB4860"/>
    <w:rsid w:val="00DB592F"/>
    <w:rsid w:val="00DB6E8A"/>
    <w:rsid w:val="00DB7613"/>
    <w:rsid w:val="00DB787A"/>
    <w:rsid w:val="00DC0018"/>
    <w:rsid w:val="00DC2FAF"/>
    <w:rsid w:val="00DC309B"/>
    <w:rsid w:val="00DC37EB"/>
    <w:rsid w:val="00DC4A32"/>
    <w:rsid w:val="00DC4DA2"/>
    <w:rsid w:val="00DC4E03"/>
    <w:rsid w:val="00DC6419"/>
    <w:rsid w:val="00DC652E"/>
    <w:rsid w:val="00DC6FA8"/>
    <w:rsid w:val="00DD0ABE"/>
    <w:rsid w:val="00DD0FCF"/>
    <w:rsid w:val="00DD20C3"/>
    <w:rsid w:val="00DD2213"/>
    <w:rsid w:val="00DD23F2"/>
    <w:rsid w:val="00DD3206"/>
    <w:rsid w:val="00DD4E55"/>
    <w:rsid w:val="00DD6894"/>
    <w:rsid w:val="00DD6E67"/>
    <w:rsid w:val="00DE0A51"/>
    <w:rsid w:val="00DE1331"/>
    <w:rsid w:val="00DE2D06"/>
    <w:rsid w:val="00DE427B"/>
    <w:rsid w:val="00DE4E10"/>
    <w:rsid w:val="00DE7EDC"/>
    <w:rsid w:val="00DF021F"/>
    <w:rsid w:val="00DF041D"/>
    <w:rsid w:val="00DF15A8"/>
    <w:rsid w:val="00DF20C7"/>
    <w:rsid w:val="00DF2565"/>
    <w:rsid w:val="00DF2B1F"/>
    <w:rsid w:val="00DF2BB9"/>
    <w:rsid w:val="00DF5B91"/>
    <w:rsid w:val="00DF62CD"/>
    <w:rsid w:val="00E002B8"/>
    <w:rsid w:val="00E00BB1"/>
    <w:rsid w:val="00E025BE"/>
    <w:rsid w:val="00E03114"/>
    <w:rsid w:val="00E04684"/>
    <w:rsid w:val="00E066CC"/>
    <w:rsid w:val="00E06E5C"/>
    <w:rsid w:val="00E105CF"/>
    <w:rsid w:val="00E11F2F"/>
    <w:rsid w:val="00E12746"/>
    <w:rsid w:val="00E1295C"/>
    <w:rsid w:val="00E135E9"/>
    <w:rsid w:val="00E15138"/>
    <w:rsid w:val="00E15D24"/>
    <w:rsid w:val="00E15FE9"/>
    <w:rsid w:val="00E20A89"/>
    <w:rsid w:val="00E215B0"/>
    <w:rsid w:val="00E23E3A"/>
    <w:rsid w:val="00E24ACF"/>
    <w:rsid w:val="00E2611F"/>
    <w:rsid w:val="00E27AB0"/>
    <w:rsid w:val="00E33AFC"/>
    <w:rsid w:val="00E3439D"/>
    <w:rsid w:val="00E37069"/>
    <w:rsid w:val="00E372CF"/>
    <w:rsid w:val="00E379BF"/>
    <w:rsid w:val="00E4070A"/>
    <w:rsid w:val="00E42863"/>
    <w:rsid w:val="00E43F1C"/>
    <w:rsid w:val="00E44A3F"/>
    <w:rsid w:val="00E45FB3"/>
    <w:rsid w:val="00E47053"/>
    <w:rsid w:val="00E470F4"/>
    <w:rsid w:val="00E50BC9"/>
    <w:rsid w:val="00E511C7"/>
    <w:rsid w:val="00E53C4E"/>
    <w:rsid w:val="00E564C4"/>
    <w:rsid w:val="00E57469"/>
    <w:rsid w:val="00E60C99"/>
    <w:rsid w:val="00E61CF1"/>
    <w:rsid w:val="00E61EF7"/>
    <w:rsid w:val="00E6302E"/>
    <w:rsid w:val="00E63AEF"/>
    <w:rsid w:val="00E64FFB"/>
    <w:rsid w:val="00E65229"/>
    <w:rsid w:val="00E65666"/>
    <w:rsid w:val="00E6652E"/>
    <w:rsid w:val="00E66E60"/>
    <w:rsid w:val="00E67EA5"/>
    <w:rsid w:val="00E72A72"/>
    <w:rsid w:val="00E75306"/>
    <w:rsid w:val="00E76B85"/>
    <w:rsid w:val="00E77645"/>
    <w:rsid w:val="00E8248E"/>
    <w:rsid w:val="00E82E35"/>
    <w:rsid w:val="00E83DD4"/>
    <w:rsid w:val="00E848F3"/>
    <w:rsid w:val="00E8615F"/>
    <w:rsid w:val="00E8671B"/>
    <w:rsid w:val="00E87156"/>
    <w:rsid w:val="00E87213"/>
    <w:rsid w:val="00E9061C"/>
    <w:rsid w:val="00E91670"/>
    <w:rsid w:val="00E9259B"/>
    <w:rsid w:val="00E9294E"/>
    <w:rsid w:val="00E93E52"/>
    <w:rsid w:val="00E94D1B"/>
    <w:rsid w:val="00E95D6E"/>
    <w:rsid w:val="00E9644E"/>
    <w:rsid w:val="00E96B24"/>
    <w:rsid w:val="00EA06DD"/>
    <w:rsid w:val="00EA1ADF"/>
    <w:rsid w:val="00EA1BA8"/>
    <w:rsid w:val="00EA2E97"/>
    <w:rsid w:val="00EA41A9"/>
    <w:rsid w:val="00EA5938"/>
    <w:rsid w:val="00EA6794"/>
    <w:rsid w:val="00EA71C2"/>
    <w:rsid w:val="00EB0277"/>
    <w:rsid w:val="00EB1CD0"/>
    <w:rsid w:val="00EB32D4"/>
    <w:rsid w:val="00EB4E60"/>
    <w:rsid w:val="00EB759D"/>
    <w:rsid w:val="00EC3FF3"/>
    <w:rsid w:val="00EC4A25"/>
    <w:rsid w:val="00ED0255"/>
    <w:rsid w:val="00ED0CEC"/>
    <w:rsid w:val="00ED1668"/>
    <w:rsid w:val="00ED182E"/>
    <w:rsid w:val="00ED2A65"/>
    <w:rsid w:val="00ED2FB6"/>
    <w:rsid w:val="00ED5359"/>
    <w:rsid w:val="00ED6E84"/>
    <w:rsid w:val="00ED7550"/>
    <w:rsid w:val="00EE2A8B"/>
    <w:rsid w:val="00EE3A76"/>
    <w:rsid w:val="00EE3E3D"/>
    <w:rsid w:val="00EE5B7D"/>
    <w:rsid w:val="00EE695F"/>
    <w:rsid w:val="00EF069F"/>
    <w:rsid w:val="00EF15BC"/>
    <w:rsid w:val="00EF4818"/>
    <w:rsid w:val="00EF50FD"/>
    <w:rsid w:val="00EF5881"/>
    <w:rsid w:val="00EF66CD"/>
    <w:rsid w:val="00EF70F5"/>
    <w:rsid w:val="00EF7C95"/>
    <w:rsid w:val="00F0109D"/>
    <w:rsid w:val="00F011F7"/>
    <w:rsid w:val="00F01D80"/>
    <w:rsid w:val="00F025A2"/>
    <w:rsid w:val="00F041E3"/>
    <w:rsid w:val="00F04712"/>
    <w:rsid w:val="00F11F11"/>
    <w:rsid w:val="00F12F2A"/>
    <w:rsid w:val="00F1461A"/>
    <w:rsid w:val="00F15599"/>
    <w:rsid w:val="00F22EC7"/>
    <w:rsid w:val="00F25155"/>
    <w:rsid w:val="00F2736F"/>
    <w:rsid w:val="00F27A07"/>
    <w:rsid w:val="00F30AA8"/>
    <w:rsid w:val="00F32456"/>
    <w:rsid w:val="00F324AF"/>
    <w:rsid w:val="00F346DD"/>
    <w:rsid w:val="00F42BC2"/>
    <w:rsid w:val="00F43621"/>
    <w:rsid w:val="00F44264"/>
    <w:rsid w:val="00F46194"/>
    <w:rsid w:val="00F50810"/>
    <w:rsid w:val="00F50F68"/>
    <w:rsid w:val="00F52A51"/>
    <w:rsid w:val="00F5388C"/>
    <w:rsid w:val="00F53DE7"/>
    <w:rsid w:val="00F540AC"/>
    <w:rsid w:val="00F54DD4"/>
    <w:rsid w:val="00F5501E"/>
    <w:rsid w:val="00F55ADA"/>
    <w:rsid w:val="00F5655D"/>
    <w:rsid w:val="00F61032"/>
    <w:rsid w:val="00F615E0"/>
    <w:rsid w:val="00F653B8"/>
    <w:rsid w:val="00F71CF6"/>
    <w:rsid w:val="00F757B9"/>
    <w:rsid w:val="00F81A57"/>
    <w:rsid w:val="00F83356"/>
    <w:rsid w:val="00F858D2"/>
    <w:rsid w:val="00F8657A"/>
    <w:rsid w:val="00F87191"/>
    <w:rsid w:val="00F8771F"/>
    <w:rsid w:val="00F91712"/>
    <w:rsid w:val="00F917E5"/>
    <w:rsid w:val="00F91F0E"/>
    <w:rsid w:val="00F94C82"/>
    <w:rsid w:val="00F9556A"/>
    <w:rsid w:val="00FA1266"/>
    <w:rsid w:val="00FA5A85"/>
    <w:rsid w:val="00FA5CD2"/>
    <w:rsid w:val="00FA5FD4"/>
    <w:rsid w:val="00FA6B7E"/>
    <w:rsid w:val="00FA6EA2"/>
    <w:rsid w:val="00FA75D6"/>
    <w:rsid w:val="00FB03D9"/>
    <w:rsid w:val="00FB61C0"/>
    <w:rsid w:val="00FB66AD"/>
    <w:rsid w:val="00FB7612"/>
    <w:rsid w:val="00FC1192"/>
    <w:rsid w:val="00FC24B5"/>
    <w:rsid w:val="00FC6928"/>
    <w:rsid w:val="00FC6DF0"/>
    <w:rsid w:val="00FD0575"/>
    <w:rsid w:val="00FD0D37"/>
    <w:rsid w:val="00FD1C32"/>
    <w:rsid w:val="00FD25E0"/>
    <w:rsid w:val="00FD726A"/>
    <w:rsid w:val="00FD74FF"/>
    <w:rsid w:val="00FE025C"/>
    <w:rsid w:val="00FE1B5E"/>
    <w:rsid w:val="00FE2DD0"/>
    <w:rsid w:val="00FE4631"/>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6B9DDA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B79"/>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uiPriority w:val="9"/>
    <w:qFormat/>
    <w:rsid w:val="00AA384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link w:val="Heading2Char"/>
    <w:qFormat/>
    <w:rsid w:val="00004739"/>
    <w:pPr>
      <w:numPr>
        <w:ilvl w:val="1"/>
      </w:num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numPr>
        <w:ilvl w:val="2"/>
      </w:numPr>
      <w:spacing w:before="120"/>
      <w:outlineLvl w:val="2"/>
    </w:pPr>
    <w:rPr>
      <w:sz w:val="28"/>
    </w:rPr>
  </w:style>
  <w:style w:type="paragraph" w:styleId="Heading4">
    <w:name w:val="heading 4"/>
    <w:basedOn w:val="Heading3"/>
    <w:next w:val="Normal"/>
    <w:qFormat/>
    <w:rsid w:val="00161B79"/>
    <w:pPr>
      <w:numPr>
        <w:ilvl w:val="3"/>
      </w:numPr>
      <w:outlineLvl w:val="3"/>
    </w:pPr>
    <w:rPr>
      <w:sz w:val="24"/>
    </w:rPr>
  </w:style>
  <w:style w:type="paragraph" w:styleId="Heading5">
    <w:name w:val="heading 5"/>
    <w:basedOn w:val="Heading4"/>
    <w:next w:val="Normal"/>
    <w:qFormat/>
    <w:rsid w:val="00161B79"/>
    <w:pPr>
      <w:numPr>
        <w:ilvl w:val="4"/>
      </w:numPr>
      <w:outlineLvl w:val="4"/>
    </w:pPr>
    <w:rPr>
      <w:sz w:val="22"/>
    </w:rPr>
  </w:style>
  <w:style w:type="paragraph" w:styleId="Heading6">
    <w:name w:val="heading 6"/>
    <w:basedOn w:val="H6"/>
    <w:next w:val="Normal"/>
    <w:qFormat/>
    <w:rsid w:val="00161B79"/>
    <w:pPr>
      <w:numPr>
        <w:ilvl w:val="5"/>
      </w:numPr>
      <w:outlineLvl w:val="5"/>
    </w:pPr>
  </w:style>
  <w:style w:type="paragraph" w:styleId="Heading7">
    <w:name w:val="heading 7"/>
    <w:basedOn w:val="H6"/>
    <w:next w:val="Normal"/>
    <w:qFormat/>
    <w:rsid w:val="00161B79"/>
    <w:pPr>
      <w:numPr>
        <w:ilvl w:val="6"/>
      </w:numPr>
      <w:outlineLvl w:val="6"/>
    </w:pPr>
  </w:style>
  <w:style w:type="paragraph" w:styleId="Heading8">
    <w:name w:val="heading 8"/>
    <w:basedOn w:val="Heading1"/>
    <w:next w:val="Normal"/>
    <w:qFormat/>
    <w:rsid w:val="00161B79"/>
    <w:pPr>
      <w:numPr>
        <w:ilvl w:val="7"/>
      </w:numPr>
      <w:outlineLvl w:val="7"/>
    </w:pPr>
  </w:style>
  <w:style w:type="paragraph" w:styleId="Heading9">
    <w:name w:val="heading 9"/>
    <w:basedOn w:val="Heading8"/>
    <w:next w:val="Normal"/>
    <w:qFormat/>
    <w:rsid w:val="00161B7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link w:val="TOC1Char"/>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61B79"/>
    <w:pPr>
      <w:jc w:val="right"/>
    </w:pPr>
  </w:style>
  <w:style w:type="paragraph" w:customStyle="1" w:styleId="TAL">
    <w:name w:val="TAL"/>
    <w:basedOn w:val="Normal"/>
    <w:rsid w:val="00161B79"/>
    <w:pPr>
      <w:keepNext/>
      <w:keepLines/>
      <w:spacing w:after="0"/>
    </w:pPr>
    <w:rPr>
      <w:rFonts w:ascii="Arial" w:hAnsi="Arial"/>
      <w:sz w:val="18"/>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rPr>
      <w:lang w:val="x-none" w:eastAsia="x-none"/>
    </w:r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rsid w:val="00161B79"/>
    <w:pPr>
      <w:spacing w:after="0"/>
    </w:pPr>
  </w:style>
  <w:style w:type="paragraph" w:customStyle="1" w:styleId="B1">
    <w:name w:val="B1"/>
    <w:basedOn w:val="List"/>
    <w:link w:val="B1Zchn"/>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61B79"/>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rsid w:val="008F0D50"/>
    <w:rPr>
      <w:rFonts w:eastAsia="MS Mincho"/>
      <w:lang w:val="en-GB" w:eastAsia="ja-JP" w:bidi="ar-SA"/>
    </w:rPr>
  </w:style>
  <w:style w:type="character" w:customStyle="1" w:styleId="Heading3Char">
    <w:name w:val="Heading 3 Char"/>
    <w:link w:val="Heading3"/>
    <w:rsid w:val="00603167"/>
    <w:rPr>
      <w:rFonts w:ascii="Arial" w:hAnsi="Arial"/>
      <w:sz w:val="28"/>
      <w:lang w:val="x-none" w:eastAsia="x-none"/>
    </w:rPr>
  </w:style>
  <w:style w:type="character" w:customStyle="1" w:styleId="Heading1Char">
    <w:name w:val="Heading 1 Char"/>
    <w:link w:val="Heading1"/>
    <w:uiPriority w:val="9"/>
    <w:rsid w:val="00AA384B"/>
    <w:rPr>
      <w:rFonts w:ascii="Arial" w:hAnsi="Arial"/>
      <w:sz w:val="36"/>
    </w:rPr>
  </w:style>
  <w:style w:type="character" w:customStyle="1" w:styleId="Heading2Char">
    <w:name w:val="Heading 2 Char"/>
    <w:link w:val="Heading2"/>
    <w:rsid w:val="00004739"/>
    <w:rPr>
      <w:rFonts w:ascii="Arial" w:hAnsi="Arial"/>
      <w:sz w:val="32"/>
      <w:lang w:val="x-none" w:eastAsia="x-none"/>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572652"/>
    <w:pPr>
      <w:spacing w:after="120"/>
      <w:ind w:left="7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rPr>
      <w:lang w:val="en-GB" w:eastAsia="ja-JP"/>
    </w:rPr>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val="en-GB"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styleId="ListParagraph">
    <w:name w:val="List Paragraph"/>
    <w:aliases w:val="- Bullets,列出段落,Lista1,?? ??,?????,????"/>
    <w:basedOn w:val="Normal"/>
    <w:link w:val="ListParagraphChar"/>
    <w:uiPriority w:val="34"/>
    <w:qFormat/>
    <w:rsid w:val="00B85C83"/>
    <w:pPr>
      <w:numPr>
        <w:numId w:val="35"/>
      </w:numPr>
      <w:overflowPunct/>
      <w:autoSpaceDE/>
      <w:autoSpaceDN/>
      <w:adjustRightInd/>
      <w:spacing w:after="160" w:line="256" w:lineRule="auto"/>
      <w:contextualSpacing/>
      <w:textAlignment w:val="auto"/>
    </w:pPr>
    <w:rPr>
      <w:rFonts w:eastAsia="DengXian"/>
      <w:lang w:eastAsia="en-US"/>
    </w:rPr>
  </w:style>
  <w:style w:type="paragraph" w:customStyle="1" w:styleId="TDocProposal">
    <w:name w:val="TDoc Proposal"/>
    <w:basedOn w:val="Normal"/>
    <w:next w:val="Normal"/>
    <w:link w:val="TDocProposalChar"/>
    <w:qFormat/>
    <w:rsid w:val="00CD63ED"/>
    <w:pPr>
      <w:numPr>
        <w:numId w:val="27"/>
      </w:numPr>
    </w:pPr>
    <w:rPr>
      <w:b/>
      <w:lang w:val="en-US"/>
    </w:rPr>
  </w:style>
  <w:style w:type="paragraph" w:customStyle="1" w:styleId="TDocObservation">
    <w:name w:val="TDoc Observation"/>
    <w:basedOn w:val="TDocProposal"/>
    <w:link w:val="TDocObservationChar"/>
    <w:qFormat/>
    <w:rsid w:val="00694344"/>
    <w:pPr>
      <w:numPr>
        <w:numId w:val="28"/>
      </w:numPr>
    </w:pPr>
  </w:style>
  <w:style w:type="character" w:customStyle="1" w:styleId="TDocProposalChar">
    <w:name w:val="TDoc Proposal Char"/>
    <w:link w:val="TDocProposal"/>
    <w:rsid w:val="00CD63ED"/>
    <w:rPr>
      <w:b/>
      <w:lang w:val="en-US" w:eastAsia="ja-JP"/>
    </w:rPr>
  </w:style>
  <w:style w:type="paragraph" w:styleId="Bibliography">
    <w:name w:val="Bibliography"/>
    <w:basedOn w:val="Normal"/>
    <w:next w:val="Normal"/>
    <w:uiPriority w:val="72"/>
    <w:unhideWhenUsed/>
    <w:rsid w:val="00536186"/>
  </w:style>
  <w:style w:type="character" w:customStyle="1" w:styleId="TDocObservationChar">
    <w:name w:val="TDoc Observation Char"/>
    <w:basedOn w:val="TDocProposalChar"/>
    <w:link w:val="TDocObservation"/>
    <w:rsid w:val="00694344"/>
    <w:rPr>
      <w:b/>
      <w:lang w:val="en-US" w:eastAsia="ja-JP"/>
    </w:rPr>
  </w:style>
  <w:style w:type="table" w:styleId="TableGrid">
    <w:name w:val="Table Grid"/>
    <w:basedOn w:val="TableNormal"/>
    <w:rsid w:val="006536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Lista1 Char,?? ?? Char,????? Char,???? Char"/>
    <w:link w:val="ListParagraph"/>
    <w:uiPriority w:val="34"/>
    <w:qFormat/>
    <w:locked/>
    <w:rsid w:val="00B85C83"/>
    <w:rPr>
      <w:rFonts w:eastAsia="DengXian"/>
      <w:lang w:val="en-GB" w:eastAsia="en-US"/>
    </w:rPr>
  </w:style>
  <w:style w:type="paragraph" w:styleId="NormalWeb">
    <w:name w:val="Normal (Web)"/>
    <w:basedOn w:val="Normal"/>
    <w:uiPriority w:val="99"/>
    <w:unhideWhenUsed/>
    <w:rsid w:val="002E0614"/>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Doc-text2"/>
    <w:qFormat/>
    <w:rsid w:val="00523108"/>
    <w:pPr>
      <w:numPr>
        <w:numId w:val="38"/>
      </w:numPr>
      <w:overflowPunct/>
      <w:autoSpaceDE/>
      <w:autoSpaceDN/>
      <w:adjustRightInd/>
      <w:spacing w:before="60" w:after="0"/>
      <w:textAlignment w:val="auto"/>
    </w:pPr>
    <w:rPr>
      <w:rFonts w:ascii="Arial" w:eastAsia="MS Mincho" w:hAnsi="Arial"/>
      <w:b/>
      <w:szCs w:val="24"/>
      <w:lang w:eastAsia="en-GB"/>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F44264"/>
    <w:rPr>
      <w:rFonts w:eastAsia="MS Mincho"/>
      <w:b/>
      <w:bCs/>
      <w:lang w:val="en-US" w:eastAsia="ja-JP"/>
    </w:rPr>
  </w:style>
  <w:style w:type="paragraph" w:customStyle="1" w:styleId="TDoc-ListofObsProp">
    <w:name w:val="TDoc - List of ObsProp"/>
    <w:basedOn w:val="TOC1"/>
    <w:link w:val="TDoc-ListofObsPropChar"/>
    <w:qFormat/>
    <w:rsid w:val="00607374"/>
    <w:pPr>
      <w:tabs>
        <w:tab w:val="left" w:pos="1418"/>
      </w:tabs>
      <w:ind w:left="1440" w:hanging="1440"/>
    </w:pPr>
    <w:rPr>
      <w:b/>
    </w:rPr>
  </w:style>
  <w:style w:type="character" w:customStyle="1" w:styleId="TOC1Char">
    <w:name w:val="TOC 1 Char"/>
    <w:basedOn w:val="DefaultParagraphFont"/>
    <w:link w:val="TOC1"/>
    <w:uiPriority w:val="39"/>
    <w:rsid w:val="00607374"/>
    <w:rPr>
      <w:noProof/>
      <w:sz w:val="22"/>
      <w:lang w:val="en-GB" w:eastAsia="ja-JP"/>
    </w:rPr>
  </w:style>
  <w:style w:type="character" w:customStyle="1" w:styleId="TDoc-ListofObsPropChar">
    <w:name w:val="TDoc - List of ObsProp Char"/>
    <w:basedOn w:val="TOC1Char"/>
    <w:link w:val="TDoc-ListofObsProp"/>
    <w:rsid w:val="00607374"/>
    <w:rPr>
      <w:b/>
      <w:noProof/>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7662">
      <w:bodyDiv w:val="1"/>
      <w:marLeft w:val="0"/>
      <w:marRight w:val="0"/>
      <w:marTop w:val="0"/>
      <w:marBottom w:val="0"/>
      <w:divBdr>
        <w:top w:val="none" w:sz="0" w:space="0" w:color="auto"/>
        <w:left w:val="none" w:sz="0" w:space="0" w:color="auto"/>
        <w:bottom w:val="none" w:sz="0" w:space="0" w:color="auto"/>
        <w:right w:val="none" w:sz="0" w:space="0" w:color="auto"/>
      </w:divBdr>
    </w:div>
    <w:div w:id="13190249">
      <w:bodyDiv w:val="1"/>
      <w:marLeft w:val="0"/>
      <w:marRight w:val="0"/>
      <w:marTop w:val="0"/>
      <w:marBottom w:val="0"/>
      <w:divBdr>
        <w:top w:val="none" w:sz="0" w:space="0" w:color="auto"/>
        <w:left w:val="none" w:sz="0" w:space="0" w:color="auto"/>
        <w:bottom w:val="none" w:sz="0" w:space="0" w:color="auto"/>
        <w:right w:val="none" w:sz="0" w:space="0" w:color="auto"/>
      </w:divBdr>
    </w:div>
    <w:div w:id="19211952">
      <w:bodyDiv w:val="1"/>
      <w:marLeft w:val="0"/>
      <w:marRight w:val="0"/>
      <w:marTop w:val="0"/>
      <w:marBottom w:val="0"/>
      <w:divBdr>
        <w:top w:val="none" w:sz="0" w:space="0" w:color="auto"/>
        <w:left w:val="none" w:sz="0" w:space="0" w:color="auto"/>
        <w:bottom w:val="none" w:sz="0" w:space="0" w:color="auto"/>
        <w:right w:val="none" w:sz="0" w:space="0" w:color="auto"/>
      </w:divBdr>
    </w:div>
    <w:div w:id="58066740">
      <w:bodyDiv w:val="1"/>
      <w:marLeft w:val="0"/>
      <w:marRight w:val="0"/>
      <w:marTop w:val="0"/>
      <w:marBottom w:val="0"/>
      <w:divBdr>
        <w:top w:val="none" w:sz="0" w:space="0" w:color="auto"/>
        <w:left w:val="none" w:sz="0" w:space="0" w:color="auto"/>
        <w:bottom w:val="none" w:sz="0" w:space="0" w:color="auto"/>
        <w:right w:val="none" w:sz="0" w:space="0" w:color="auto"/>
      </w:divBdr>
    </w:div>
    <w:div w:id="73169141">
      <w:bodyDiv w:val="1"/>
      <w:marLeft w:val="0"/>
      <w:marRight w:val="0"/>
      <w:marTop w:val="0"/>
      <w:marBottom w:val="0"/>
      <w:divBdr>
        <w:top w:val="none" w:sz="0" w:space="0" w:color="auto"/>
        <w:left w:val="none" w:sz="0" w:space="0" w:color="auto"/>
        <w:bottom w:val="none" w:sz="0" w:space="0" w:color="auto"/>
        <w:right w:val="none" w:sz="0" w:space="0" w:color="auto"/>
      </w:divBdr>
    </w:div>
    <w:div w:id="90856227">
      <w:bodyDiv w:val="1"/>
      <w:marLeft w:val="0"/>
      <w:marRight w:val="0"/>
      <w:marTop w:val="0"/>
      <w:marBottom w:val="0"/>
      <w:divBdr>
        <w:top w:val="none" w:sz="0" w:space="0" w:color="auto"/>
        <w:left w:val="none" w:sz="0" w:space="0" w:color="auto"/>
        <w:bottom w:val="none" w:sz="0" w:space="0" w:color="auto"/>
        <w:right w:val="none" w:sz="0" w:space="0" w:color="auto"/>
      </w:divBdr>
    </w:div>
    <w:div w:id="114644964">
      <w:bodyDiv w:val="1"/>
      <w:marLeft w:val="0"/>
      <w:marRight w:val="0"/>
      <w:marTop w:val="0"/>
      <w:marBottom w:val="0"/>
      <w:divBdr>
        <w:top w:val="none" w:sz="0" w:space="0" w:color="auto"/>
        <w:left w:val="none" w:sz="0" w:space="0" w:color="auto"/>
        <w:bottom w:val="none" w:sz="0" w:space="0" w:color="auto"/>
        <w:right w:val="none" w:sz="0" w:space="0" w:color="auto"/>
      </w:divBdr>
    </w:div>
    <w:div w:id="119612034">
      <w:bodyDiv w:val="1"/>
      <w:marLeft w:val="0"/>
      <w:marRight w:val="0"/>
      <w:marTop w:val="0"/>
      <w:marBottom w:val="0"/>
      <w:divBdr>
        <w:top w:val="none" w:sz="0" w:space="0" w:color="auto"/>
        <w:left w:val="none" w:sz="0" w:space="0" w:color="auto"/>
        <w:bottom w:val="none" w:sz="0" w:space="0" w:color="auto"/>
        <w:right w:val="none" w:sz="0" w:space="0" w:color="auto"/>
      </w:divBdr>
    </w:div>
    <w:div w:id="144704993">
      <w:bodyDiv w:val="1"/>
      <w:marLeft w:val="0"/>
      <w:marRight w:val="0"/>
      <w:marTop w:val="0"/>
      <w:marBottom w:val="0"/>
      <w:divBdr>
        <w:top w:val="none" w:sz="0" w:space="0" w:color="auto"/>
        <w:left w:val="none" w:sz="0" w:space="0" w:color="auto"/>
        <w:bottom w:val="none" w:sz="0" w:space="0" w:color="auto"/>
        <w:right w:val="none" w:sz="0" w:space="0" w:color="auto"/>
      </w:divBdr>
    </w:div>
    <w:div w:id="152568719">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85146032">
      <w:bodyDiv w:val="1"/>
      <w:marLeft w:val="0"/>
      <w:marRight w:val="0"/>
      <w:marTop w:val="0"/>
      <w:marBottom w:val="0"/>
      <w:divBdr>
        <w:top w:val="none" w:sz="0" w:space="0" w:color="auto"/>
        <w:left w:val="none" w:sz="0" w:space="0" w:color="auto"/>
        <w:bottom w:val="none" w:sz="0" w:space="0" w:color="auto"/>
        <w:right w:val="none" w:sz="0" w:space="0" w:color="auto"/>
      </w:divBdr>
    </w:div>
    <w:div w:id="196309155">
      <w:bodyDiv w:val="1"/>
      <w:marLeft w:val="0"/>
      <w:marRight w:val="0"/>
      <w:marTop w:val="0"/>
      <w:marBottom w:val="0"/>
      <w:divBdr>
        <w:top w:val="none" w:sz="0" w:space="0" w:color="auto"/>
        <w:left w:val="none" w:sz="0" w:space="0" w:color="auto"/>
        <w:bottom w:val="none" w:sz="0" w:space="0" w:color="auto"/>
        <w:right w:val="none" w:sz="0" w:space="0" w:color="auto"/>
      </w:divBdr>
    </w:div>
    <w:div w:id="207690585">
      <w:bodyDiv w:val="1"/>
      <w:marLeft w:val="0"/>
      <w:marRight w:val="0"/>
      <w:marTop w:val="0"/>
      <w:marBottom w:val="0"/>
      <w:divBdr>
        <w:top w:val="none" w:sz="0" w:space="0" w:color="auto"/>
        <w:left w:val="none" w:sz="0" w:space="0" w:color="auto"/>
        <w:bottom w:val="none" w:sz="0" w:space="0" w:color="auto"/>
        <w:right w:val="none" w:sz="0" w:space="0" w:color="auto"/>
      </w:divBdr>
    </w:div>
    <w:div w:id="221059141">
      <w:bodyDiv w:val="1"/>
      <w:marLeft w:val="0"/>
      <w:marRight w:val="0"/>
      <w:marTop w:val="0"/>
      <w:marBottom w:val="0"/>
      <w:divBdr>
        <w:top w:val="none" w:sz="0" w:space="0" w:color="auto"/>
        <w:left w:val="none" w:sz="0" w:space="0" w:color="auto"/>
        <w:bottom w:val="none" w:sz="0" w:space="0" w:color="auto"/>
        <w:right w:val="none" w:sz="0" w:space="0" w:color="auto"/>
      </w:divBdr>
    </w:div>
    <w:div w:id="233123356">
      <w:bodyDiv w:val="1"/>
      <w:marLeft w:val="0"/>
      <w:marRight w:val="0"/>
      <w:marTop w:val="0"/>
      <w:marBottom w:val="0"/>
      <w:divBdr>
        <w:top w:val="none" w:sz="0" w:space="0" w:color="auto"/>
        <w:left w:val="none" w:sz="0" w:space="0" w:color="auto"/>
        <w:bottom w:val="none" w:sz="0" w:space="0" w:color="auto"/>
        <w:right w:val="none" w:sz="0" w:space="0" w:color="auto"/>
      </w:divBdr>
    </w:div>
    <w:div w:id="272176685">
      <w:bodyDiv w:val="1"/>
      <w:marLeft w:val="0"/>
      <w:marRight w:val="0"/>
      <w:marTop w:val="0"/>
      <w:marBottom w:val="0"/>
      <w:divBdr>
        <w:top w:val="none" w:sz="0" w:space="0" w:color="auto"/>
        <w:left w:val="none" w:sz="0" w:space="0" w:color="auto"/>
        <w:bottom w:val="none" w:sz="0" w:space="0" w:color="auto"/>
        <w:right w:val="none" w:sz="0" w:space="0" w:color="auto"/>
      </w:divBdr>
    </w:div>
    <w:div w:id="275988758">
      <w:bodyDiv w:val="1"/>
      <w:marLeft w:val="0"/>
      <w:marRight w:val="0"/>
      <w:marTop w:val="0"/>
      <w:marBottom w:val="0"/>
      <w:divBdr>
        <w:top w:val="none" w:sz="0" w:space="0" w:color="auto"/>
        <w:left w:val="none" w:sz="0" w:space="0" w:color="auto"/>
        <w:bottom w:val="none" w:sz="0" w:space="0" w:color="auto"/>
        <w:right w:val="none" w:sz="0" w:space="0" w:color="auto"/>
      </w:divBdr>
    </w:div>
    <w:div w:id="279265413">
      <w:bodyDiv w:val="1"/>
      <w:marLeft w:val="0"/>
      <w:marRight w:val="0"/>
      <w:marTop w:val="0"/>
      <w:marBottom w:val="0"/>
      <w:divBdr>
        <w:top w:val="none" w:sz="0" w:space="0" w:color="auto"/>
        <w:left w:val="none" w:sz="0" w:space="0" w:color="auto"/>
        <w:bottom w:val="none" w:sz="0" w:space="0" w:color="auto"/>
        <w:right w:val="none" w:sz="0" w:space="0" w:color="auto"/>
      </w:divBdr>
    </w:div>
    <w:div w:id="331488543">
      <w:bodyDiv w:val="1"/>
      <w:marLeft w:val="0"/>
      <w:marRight w:val="0"/>
      <w:marTop w:val="0"/>
      <w:marBottom w:val="0"/>
      <w:divBdr>
        <w:top w:val="none" w:sz="0" w:space="0" w:color="auto"/>
        <w:left w:val="none" w:sz="0" w:space="0" w:color="auto"/>
        <w:bottom w:val="none" w:sz="0" w:space="0" w:color="auto"/>
        <w:right w:val="none" w:sz="0" w:space="0" w:color="auto"/>
      </w:divBdr>
    </w:div>
    <w:div w:id="341474579">
      <w:bodyDiv w:val="1"/>
      <w:marLeft w:val="0"/>
      <w:marRight w:val="0"/>
      <w:marTop w:val="0"/>
      <w:marBottom w:val="0"/>
      <w:divBdr>
        <w:top w:val="none" w:sz="0" w:space="0" w:color="auto"/>
        <w:left w:val="none" w:sz="0" w:space="0" w:color="auto"/>
        <w:bottom w:val="none" w:sz="0" w:space="0" w:color="auto"/>
        <w:right w:val="none" w:sz="0" w:space="0" w:color="auto"/>
      </w:divBdr>
    </w:div>
    <w:div w:id="355890919">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4111804">
      <w:bodyDiv w:val="1"/>
      <w:marLeft w:val="0"/>
      <w:marRight w:val="0"/>
      <w:marTop w:val="0"/>
      <w:marBottom w:val="0"/>
      <w:divBdr>
        <w:top w:val="none" w:sz="0" w:space="0" w:color="auto"/>
        <w:left w:val="none" w:sz="0" w:space="0" w:color="auto"/>
        <w:bottom w:val="none" w:sz="0" w:space="0" w:color="auto"/>
        <w:right w:val="none" w:sz="0" w:space="0" w:color="auto"/>
      </w:divBdr>
    </w:div>
    <w:div w:id="391663088">
      <w:bodyDiv w:val="1"/>
      <w:marLeft w:val="0"/>
      <w:marRight w:val="0"/>
      <w:marTop w:val="0"/>
      <w:marBottom w:val="0"/>
      <w:divBdr>
        <w:top w:val="none" w:sz="0" w:space="0" w:color="auto"/>
        <w:left w:val="none" w:sz="0" w:space="0" w:color="auto"/>
        <w:bottom w:val="none" w:sz="0" w:space="0" w:color="auto"/>
        <w:right w:val="none" w:sz="0" w:space="0" w:color="auto"/>
      </w:divBdr>
    </w:div>
    <w:div w:id="423379506">
      <w:bodyDiv w:val="1"/>
      <w:marLeft w:val="0"/>
      <w:marRight w:val="0"/>
      <w:marTop w:val="0"/>
      <w:marBottom w:val="0"/>
      <w:divBdr>
        <w:top w:val="none" w:sz="0" w:space="0" w:color="auto"/>
        <w:left w:val="none" w:sz="0" w:space="0" w:color="auto"/>
        <w:bottom w:val="none" w:sz="0" w:space="0" w:color="auto"/>
        <w:right w:val="none" w:sz="0" w:space="0" w:color="auto"/>
      </w:divBdr>
    </w:div>
    <w:div w:id="459492431">
      <w:bodyDiv w:val="1"/>
      <w:marLeft w:val="0"/>
      <w:marRight w:val="0"/>
      <w:marTop w:val="0"/>
      <w:marBottom w:val="0"/>
      <w:divBdr>
        <w:top w:val="none" w:sz="0" w:space="0" w:color="auto"/>
        <w:left w:val="none" w:sz="0" w:space="0" w:color="auto"/>
        <w:bottom w:val="none" w:sz="0" w:space="0" w:color="auto"/>
        <w:right w:val="none" w:sz="0" w:space="0" w:color="auto"/>
      </w:divBdr>
    </w:div>
    <w:div w:id="479150719">
      <w:bodyDiv w:val="1"/>
      <w:marLeft w:val="0"/>
      <w:marRight w:val="0"/>
      <w:marTop w:val="0"/>
      <w:marBottom w:val="0"/>
      <w:divBdr>
        <w:top w:val="none" w:sz="0" w:space="0" w:color="auto"/>
        <w:left w:val="none" w:sz="0" w:space="0" w:color="auto"/>
        <w:bottom w:val="none" w:sz="0" w:space="0" w:color="auto"/>
        <w:right w:val="none" w:sz="0" w:space="0" w:color="auto"/>
      </w:divBdr>
    </w:div>
    <w:div w:id="511526646">
      <w:bodyDiv w:val="1"/>
      <w:marLeft w:val="0"/>
      <w:marRight w:val="0"/>
      <w:marTop w:val="0"/>
      <w:marBottom w:val="0"/>
      <w:divBdr>
        <w:top w:val="none" w:sz="0" w:space="0" w:color="auto"/>
        <w:left w:val="none" w:sz="0" w:space="0" w:color="auto"/>
        <w:bottom w:val="none" w:sz="0" w:space="0" w:color="auto"/>
        <w:right w:val="none" w:sz="0" w:space="0" w:color="auto"/>
      </w:divBdr>
    </w:div>
    <w:div w:id="523711830">
      <w:bodyDiv w:val="1"/>
      <w:marLeft w:val="0"/>
      <w:marRight w:val="0"/>
      <w:marTop w:val="0"/>
      <w:marBottom w:val="0"/>
      <w:divBdr>
        <w:top w:val="none" w:sz="0" w:space="0" w:color="auto"/>
        <w:left w:val="none" w:sz="0" w:space="0" w:color="auto"/>
        <w:bottom w:val="none" w:sz="0" w:space="0" w:color="auto"/>
        <w:right w:val="none" w:sz="0" w:space="0" w:color="auto"/>
      </w:divBdr>
    </w:div>
    <w:div w:id="525947686">
      <w:bodyDiv w:val="1"/>
      <w:marLeft w:val="0"/>
      <w:marRight w:val="0"/>
      <w:marTop w:val="0"/>
      <w:marBottom w:val="0"/>
      <w:divBdr>
        <w:top w:val="none" w:sz="0" w:space="0" w:color="auto"/>
        <w:left w:val="none" w:sz="0" w:space="0" w:color="auto"/>
        <w:bottom w:val="none" w:sz="0" w:space="0" w:color="auto"/>
        <w:right w:val="none" w:sz="0" w:space="0" w:color="auto"/>
      </w:divBdr>
    </w:div>
    <w:div w:id="5417459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48228471">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56673652">
      <w:bodyDiv w:val="1"/>
      <w:marLeft w:val="0"/>
      <w:marRight w:val="0"/>
      <w:marTop w:val="0"/>
      <w:marBottom w:val="0"/>
      <w:divBdr>
        <w:top w:val="none" w:sz="0" w:space="0" w:color="auto"/>
        <w:left w:val="none" w:sz="0" w:space="0" w:color="auto"/>
        <w:bottom w:val="none" w:sz="0" w:space="0" w:color="auto"/>
        <w:right w:val="none" w:sz="0" w:space="0" w:color="auto"/>
      </w:divBdr>
    </w:div>
    <w:div w:id="563183142">
      <w:bodyDiv w:val="1"/>
      <w:marLeft w:val="0"/>
      <w:marRight w:val="0"/>
      <w:marTop w:val="0"/>
      <w:marBottom w:val="0"/>
      <w:divBdr>
        <w:top w:val="none" w:sz="0" w:space="0" w:color="auto"/>
        <w:left w:val="none" w:sz="0" w:space="0" w:color="auto"/>
        <w:bottom w:val="none" w:sz="0" w:space="0" w:color="auto"/>
        <w:right w:val="none" w:sz="0" w:space="0" w:color="auto"/>
      </w:divBdr>
    </w:div>
    <w:div w:id="573051356">
      <w:bodyDiv w:val="1"/>
      <w:marLeft w:val="0"/>
      <w:marRight w:val="0"/>
      <w:marTop w:val="0"/>
      <w:marBottom w:val="0"/>
      <w:divBdr>
        <w:top w:val="none" w:sz="0" w:space="0" w:color="auto"/>
        <w:left w:val="none" w:sz="0" w:space="0" w:color="auto"/>
        <w:bottom w:val="none" w:sz="0" w:space="0" w:color="auto"/>
        <w:right w:val="none" w:sz="0" w:space="0" w:color="auto"/>
      </w:divBdr>
    </w:div>
    <w:div w:id="577903345">
      <w:bodyDiv w:val="1"/>
      <w:marLeft w:val="0"/>
      <w:marRight w:val="0"/>
      <w:marTop w:val="0"/>
      <w:marBottom w:val="0"/>
      <w:divBdr>
        <w:top w:val="none" w:sz="0" w:space="0" w:color="auto"/>
        <w:left w:val="none" w:sz="0" w:space="0" w:color="auto"/>
        <w:bottom w:val="none" w:sz="0" w:space="0" w:color="auto"/>
        <w:right w:val="none" w:sz="0" w:space="0" w:color="auto"/>
      </w:divBdr>
    </w:div>
    <w:div w:id="582377919">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594283766">
      <w:bodyDiv w:val="1"/>
      <w:marLeft w:val="0"/>
      <w:marRight w:val="0"/>
      <w:marTop w:val="0"/>
      <w:marBottom w:val="0"/>
      <w:divBdr>
        <w:top w:val="none" w:sz="0" w:space="0" w:color="auto"/>
        <w:left w:val="none" w:sz="0" w:space="0" w:color="auto"/>
        <w:bottom w:val="none" w:sz="0" w:space="0" w:color="auto"/>
        <w:right w:val="none" w:sz="0" w:space="0" w:color="auto"/>
      </w:divBdr>
    </w:div>
    <w:div w:id="612639920">
      <w:bodyDiv w:val="1"/>
      <w:marLeft w:val="0"/>
      <w:marRight w:val="0"/>
      <w:marTop w:val="0"/>
      <w:marBottom w:val="0"/>
      <w:divBdr>
        <w:top w:val="none" w:sz="0" w:space="0" w:color="auto"/>
        <w:left w:val="none" w:sz="0" w:space="0" w:color="auto"/>
        <w:bottom w:val="none" w:sz="0" w:space="0" w:color="auto"/>
        <w:right w:val="none" w:sz="0" w:space="0" w:color="auto"/>
      </w:divBdr>
    </w:div>
    <w:div w:id="615986816">
      <w:bodyDiv w:val="1"/>
      <w:marLeft w:val="0"/>
      <w:marRight w:val="0"/>
      <w:marTop w:val="0"/>
      <w:marBottom w:val="0"/>
      <w:divBdr>
        <w:top w:val="none" w:sz="0" w:space="0" w:color="auto"/>
        <w:left w:val="none" w:sz="0" w:space="0" w:color="auto"/>
        <w:bottom w:val="none" w:sz="0" w:space="0" w:color="auto"/>
        <w:right w:val="none" w:sz="0" w:space="0" w:color="auto"/>
      </w:divBdr>
    </w:div>
    <w:div w:id="617179087">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42269202">
      <w:bodyDiv w:val="1"/>
      <w:marLeft w:val="0"/>
      <w:marRight w:val="0"/>
      <w:marTop w:val="0"/>
      <w:marBottom w:val="0"/>
      <w:divBdr>
        <w:top w:val="none" w:sz="0" w:space="0" w:color="auto"/>
        <w:left w:val="none" w:sz="0" w:space="0" w:color="auto"/>
        <w:bottom w:val="none" w:sz="0" w:space="0" w:color="auto"/>
        <w:right w:val="none" w:sz="0" w:space="0" w:color="auto"/>
      </w:divBdr>
    </w:div>
    <w:div w:id="652294026">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686830389">
      <w:bodyDiv w:val="1"/>
      <w:marLeft w:val="0"/>
      <w:marRight w:val="0"/>
      <w:marTop w:val="0"/>
      <w:marBottom w:val="0"/>
      <w:divBdr>
        <w:top w:val="none" w:sz="0" w:space="0" w:color="auto"/>
        <w:left w:val="none" w:sz="0" w:space="0" w:color="auto"/>
        <w:bottom w:val="none" w:sz="0" w:space="0" w:color="auto"/>
        <w:right w:val="none" w:sz="0" w:space="0" w:color="auto"/>
      </w:divBdr>
    </w:div>
    <w:div w:id="705568619">
      <w:bodyDiv w:val="1"/>
      <w:marLeft w:val="0"/>
      <w:marRight w:val="0"/>
      <w:marTop w:val="0"/>
      <w:marBottom w:val="0"/>
      <w:divBdr>
        <w:top w:val="none" w:sz="0" w:space="0" w:color="auto"/>
        <w:left w:val="none" w:sz="0" w:space="0" w:color="auto"/>
        <w:bottom w:val="none" w:sz="0" w:space="0" w:color="auto"/>
        <w:right w:val="none" w:sz="0" w:space="0" w:color="auto"/>
      </w:divBdr>
    </w:div>
    <w:div w:id="710034737">
      <w:bodyDiv w:val="1"/>
      <w:marLeft w:val="0"/>
      <w:marRight w:val="0"/>
      <w:marTop w:val="0"/>
      <w:marBottom w:val="0"/>
      <w:divBdr>
        <w:top w:val="none" w:sz="0" w:space="0" w:color="auto"/>
        <w:left w:val="none" w:sz="0" w:space="0" w:color="auto"/>
        <w:bottom w:val="none" w:sz="0" w:space="0" w:color="auto"/>
        <w:right w:val="none" w:sz="0" w:space="0" w:color="auto"/>
      </w:divBdr>
    </w:div>
    <w:div w:id="717318471">
      <w:bodyDiv w:val="1"/>
      <w:marLeft w:val="0"/>
      <w:marRight w:val="0"/>
      <w:marTop w:val="0"/>
      <w:marBottom w:val="0"/>
      <w:divBdr>
        <w:top w:val="none" w:sz="0" w:space="0" w:color="auto"/>
        <w:left w:val="none" w:sz="0" w:space="0" w:color="auto"/>
        <w:bottom w:val="none" w:sz="0" w:space="0" w:color="auto"/>
        <w:right w:val="none" w:sz="0" w:space="0" w:color="auto"/>
      </w:divBdr>
    </w:div>
    <w:div w:id="743188557">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76174245">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2797155">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6412481">
      <w:bodyDiv w:val="1"/>
      <w:marLeft w:val="0"/>
      <w:marRight w:val="0"/>
      <w:marTop w:val="0"/>
      <w:marBottom w:val="0"/>
      <w:divBdr>
        <w:top w:val="none" w:sz="0" w:space="0" w:color="auto"/>
        <w:left w:val="none" w:sz="0" w:space="0" w:color="auto"/>
        <w:bottom w:val="none" w:sz="0" w:space="0" w:color="auto"/>
        <w:right w:val="none" w:sz="0" w:space="0" w:color="auto"/>
      </w:divBdr>
    </w:div>
    <w:div w:id="839926897">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865600571">
      <w:bodyDiv w:val="1"/>
      <w:marLeft w:val="0"/>
      <w:marRight w:val="0"/>
      <w:marTop w:val="0"/>
      <w:marBottom w:val="0"/>
      <w:divBdr>
        <w:top w:val="none" w:sz="0" w:space="0" w:color="auto"/>
        <w:left w:val="none" w:sz="0" w:space="0" w:color="auto"/>
        <w:bottom w:val="none" w:sz="0" w:space="0" w:color="auto"/>
        <w:right w:val="none" w:sz="0" w:space="0" w:color="auto"/>
      </w:divBdr>
    </w:div>
    <w:div w:id="878585165">
      <w:bodyDiv w:val="1"/>
      <w:marLeft w:val="0"/>
      <w:marRight w:val="0"/>
      <w:marTop w:val="0"/>
      <w:marBottom w:val="0"/>
      <w:divBdr>
        <w:top w:val="none" w:sz="0" w:space="0" w:color="auto"/>
        <w:left w:val="none" w:sz="0" w:space="0" w:color="auto"/>
        <w:bottom w:val="none" w:sz="0" w:space="0" w:color="auto"/>
        <w:right w:val="none" w:sz="0" w:space="0" w:color="auto"/>
      </w:divBdr>
    </w:div>
    <w:div w:id="892233748">
      <w:bodyDiv w:val="1"/>
      <w:marLeft w:val="0"/>
      <w:marRight w:val="0"/>
      <w:marTop w:val="0"/>
      <w:marBottom w:val="0"/>
      <w:divBdr>
        <w:top w:val="none" w:sz="0" w:space="0" w:color="auto"/>
        <w:left w:val="none" w:sz="0" w:space="0" w:color="auto"/>
        <w:bottom w:val="none" w:sz="0" w:space="0" w:color="auto"/>
        <w:right w:val="none" w:sz="0" w:space="0" w:color="auto"/>
      </w:divBdr>
    </w:div>
    <w:div w:id="893276100">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16062379">
      <w:bodyDiv w:val="1"/>
      <w:marLeft w:val="0"/>
      <w:marRight w:val="0"/>
      <w:marTop w:val="0"/>
      <w:marBottom w:val="0"/>
      <w:divBdr>
        <w:top w:val="none" w:sz="0" w:space="0" w:color="auto"/>
        <w:left w:val="none" w:sz="0" w:space="0" w:color="auto"/>
        <w:bottom w:val="none" w:sz="0" w:space="0" w:color="auto"/>
        <w:right w:val="none" w:sz="0" w:space="0" w:color="auto"/>
      </w:divBdr>
    </w:div>
    <w:div w:id="922488640">
      <w:bodyDiv w:val="1"/>
      <w:marLeft w:val="0"/>
      <w:marRight w:val="0"/>
      <w:marTop w:val="0"/>
      <w:marBottom w:val="0"/>
      <w:divBdr>
        <w:top w:val="none" w:sz="0" w:space="0" w:color="auto"/>
        <w:left w:val="none" w:sz="0" w:space="0" w:color="auto"/>
        <w:bottom w:val="none" w:sz="0" w:space="0" w:color="auto"/>
        <w:right w:val="none" w:sz="0" w:space="0" w:color="auto"/>
      </w:divBdr>
    </w:div>
    <w:div w:id="932982183">
      <w:bodyDiv w:val="1"/>
      <w:marLeft w:val="0"/>
      <w:marRight w:val="0"/>
      <w:marTop w:val="0"/>
      <w:marBottom w:val="0"/>
      <w:divBdr>
        <w:top w:val="none" w:sz="0" w:space="0" w:color="auto"/>
        <w:left w:val="none" w:sz="0" w:space="0" w:color="auto"/>
        <w:bottom w:val="none" w:sz="0" w:space="0" w:color="auto"/>
        <w:right w:val="none" w:sz="0" w:space="0" w:color="auto"/>
      </w:divBdr>
    </w:div>
    <w:div w:id="947614770">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65890379">
      <w:bodyDiv w:val="1"/>
      <w:marLeft w:val="0"/>
      <w:marRight w:val="0"/>
      <w:marTop w:val="0"/>
      <w:marBottom w:val="0"/>
      <w:divBdr>
        <w:top w:val="none" w:sz="0" w:space="0" w:color="auto"/>
        <w:left w:val="none" w:sz="0" w:space="0" w:color="auto"/>
        <w:bottom w:val="none" w:sz="0" w:space="0" w:color="auto"/>
        <w:right w:val="none" w:sz="0" w:space="0" w:color="auto"/>
      </w:divBdr>
    </w:div>
    <w:div w:id="97086240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3684360">
      <w:bodyDiv w:val="1"/>
      <w:marLeft w:val="0"/>
      <w:marRight w:val="0"/>
      <w:marTop w:val="0"/>
      <w:marBottom w:val="0"/>
      <w:divBdr>
        <w:top w:val="none" w:sz="0" w:space="0" w:color="auto"/>
        <w:left w:val="none" w:sz="0" w:space="0" w:color="auto"/>
        <w:bottom w:val="none" w:sz="0" w:space="0" w:color="auto"/>
        <w:right w:val="none" w:sz="0" w:space="0" w:color="auto"/>
      </w:divBdr>
    </w:div>
    <w:div w:id="995960606">
      <w:bodyDiv w:val="1"/>
      <w:marLeft w:val="0"/>
      <w:marRight w:val="0"/>
      <w:marTop w:val="0"/>
      <w:marBottom w:val="0"/>
      <w:divBdr>
        <w:top w:val="none" w:sz="0" w:space="0" w:color="auto"/>
        <w:left w:val="none" w:sz="0" w:space="0" w:color="auto"/>
        <w:bottom w:val="none" w:sz="0" w:space="0" w:color="auto"/>
        <w:right w:val="none" w:sz="0" w:space="0" w:color="auto"/>
      </w:divBdr>
    </w:div>
    <w:div w:id="1000085682">
      <w:bodyDiv w:val="1"/>
      <w:marLeft w:val="0"/>
      <w:marRight w:val="0"/>
      <w:marTop w:val="0"/>
      <w:marBottom w:val="0"/>
      <w:divBdr>
        <w:top w:val="none" w:sz="0" w:space="0" w:color="auto"/>
        <w:left w:val="none" w:sz="0" w:space="0" w:color="auto"/>
        <w:bottom w:val="none" w:sz="0" w:space="0" w:color="auto"/>
        <w:right w:val="none" w:sz="0" w:space="0" w:color="auto"/>
      </w:divBdr>
    </w:div>
    <w:div w:id="1027365673">
      <w:bodyDiv w:val="1"/>
      <w:marLeft w:val="0"/>
      <w:marRight w:val="0"/>
      <w:marTop w:val="0"/>
      <w:marBottom w:val="0"/>
      <w:divBdr>
        <w:top w:val="none" w:sz="0" w:space="0" w:color="auto"/>
        <w:left w:val="none" w:sz="0" w:space="0" w:color="auto"/>
        <w:bottom w:val="none" w:sz="0" w:space="0" w:color="auto"/>
        <w:right w:val="none" w:sz="0" w:space="0" w:color="auto"/>
      </w:divBdr>
    </w:div>
    <w:div w:id="1054425771">
      <w:bodyDiv w:val="1"/>
      <w:marLeft w:val="0"/>
      <w:marRight w:val="0"/>
      <w:marTop w:val="0"/>
      <w:marBottom w:val="0"/>
      <w:divBdr>
        <w:top w:val="none" w:sz="0" w:space="0" w:color="auto"/>
        <w:left w:val="none" w:sz="0" w:space="0" w:color="auto"/>
        <w:bottom w:val="none" w:sz="0" w:space="0" w:color="auto"/>
        <w:right w:val="none" w:sz="0" w:space="0" w:color="auto"/>
      </w:divBdr>
    </w:div>
    <w:div w:id="1066761380">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01753960">
      <w:bodyDiv w:val="1"/>
      <w:marLeft w:val="0"/>
      <w:marRight w:val="0"/>
      <w:marTop w:val="0"/>
      <w:marBottom w:val="0"/>
      <w:divBdr>
        <w:top w:val="none" w:sz="0" w:space="0" w:color="auto"/>
        <w:left w:val="none" w:sz="0" w:space="0" w:color="auto"/>
        <w:bottom w:val="none" w:sz="0" w:space="0" w:color="auto"/>
        <w:right w:val="none" w:sz="0" w:space="0" w:color="auto"/>
      </w:divBdr>
    </w:div>
    <w:div w:id="1103719809">
      <w:bodyDiv w:val="1"/>
      <w:marLeft w:val="0"/>
      <w:marRight w:val="0"/>
      <w:marTop w:val="0"/>
      <w:marBottom w:val="0"/>
      <w:divBdr>
        <w:top w:val="none" w:sz="0" w:space="0" w:color="auto"/>
        <w:left w:val="none" w:sz="0" w:space="0" w:color="auto"/>
        <w:bottom w:val="none" w:sz="0" w:space="0" w:color="auto"/>
        <w:right w:val="none" w:sz="0" w:space="0" w:color="auto"/>
      </w:divBdr>
    </w:div>
    <w:div w:id="1104497124">
      <w:bodyDiv w:val="1"/>
      <w:marLeft w:val="0"/>
      <w:marRight w:val="0"/>
      <w:marTop w:val="0"/>
      <w:marBottom w:val="0"/>
      <w:divBdr>
        <w:top w:val="none" w:sz="0" w:space="0" w:color="auto"/>
        <w:left w:val="none" w:sz="0" w:space="0" w:color="auto"/>
        <w:bottom w:val="none" w:sz="0" w:space="0" w:color="auto"/>
        <w:right w:val="none" w:sz="0" w:space="0" w:color="auto"/>
      </w:divBdr>
    </w:div>
    <w:div w:id="1112551077">
      <w:bodyDiv w:val="1"/>
      <w:marLeft w:val="0"/>
      <w:marRight w:val="0"/>
      <w:marTop w:val="0"/>
      <w:marBottom w:val="0"/>
      <w:divBdr>
        <w:top w:val="none" w:sz="0" w:space="0" w:color="auto"/>
        <w:left w:val="none" w:sz="0" w:space="0" w:color="auto"/>
        <w:bottom w:val="none" w:sz="0" w:space="0" w:color="auto"/>
        <w:right w:val="none" w:sz="0" w:space="0" w:color="auto"/>
      </w:divBdr>
    </w:div>
    <w:div w:id="1134710325">
      <w:bodyDiv w:val="1"/>
      <w:marLeft w:val="0"/>
      <w:marRight w:val="0"/>
      <w:marTop w:val="0"/>
      <w:marBottom w:val="0"/>
      <w:divBdr>
        <w:top w:val="none" w:sz="0" w:space="0" w:color="auto"/>
        <w:left w:val="none" w:sz="0" w:space="0" w:color="auto"/>
        <w:bottom w:val="none" w:sz="0" w:space="0" w:color="auto"/>
        <w:right w:val="none" w:sz="0" w:space="0" w:color="auto"/>
      </w:divBdr>
    </w:div>
    <w:div w:id="1147210278">
      <w:bodyDiv w:val="1"/>
      <w:marLeft w:val="0"/>
      <w:marRight w:val="0"/>
      <w:marTop w:val="0"/>
      <w:marBottom w:val="0"/>
      <w:divBdr>
        <w:top w:val="none" w:sz="0" w:space="0" w:color="auto"/>
        <w:left w:val="none" w:sz="0" w:space="0" w:color="auto"/>
        <w:bottom w:val="none" w:sz="0" w:space="0" w:color="auto"/>
        <w:right w:val="none" w:sz="0" w:space="0" w:color="auto"/>
      </w:divBdr>
    </w:div>
    <w:div w:id="1183939295">
      <w:bodyDiv w:val="1"/>
      <w:marLeft w:val="0"/>
      <w:marRight w:val="0"/>
      <w:marTop w:val="0"/>
      <w:marBottom w:val="0"/>
      <w:divBdr>
        <w:top w:val="none" w:sz="0" w:space="0" w:color="auto"/>
        <w:left w:val="none" w:sz="0" w:space="0" w:color="auto"/>
        <w:bottom w:val="none" w:sz="0" w:space="0" w:color="auto"/>
        <w:right w:val="none" w:sz="0" w:space="0" w:color="auto"/>
      </w:divBdr>
    </w:div>
    <w:div w:id="1202471843">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166992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7376712">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265307077">
      <w:bodyDiv w:val="1"/>
      <w:marLeft w:val="0"/>
      <w:marRight w:val="0"/>
      <w:marTop w:val="0"/>
      <w:marBottom w:val="0"/>
      <w:divBdr>
        <w:top w:val="none" w:sz="0" w:space="0" w:color="auto"/>
        <w:left w:val="none" w:sz="0" w:space="0" w:color="auto"/>
        <w:bottom w:val="none" w:sz="0" w:space="0" w:color="auto"/>
        <w:right w:val="none" w:sz="0" w:space="0" w:color="auto"/>
      </w:divBdr>
    </w:div>
    <w:div w:id="1292831911">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58655126">
      <w:bodyDiv w:val="1"/>
      <w:marLeft w:val="0"/>
      <w:marRight w:val="0"/>
      <w:marTop w:val="0"/>
      <w:marBottom w:val="0"/>
      <w:divBdr>
        <w:top w:val="none" w:sz="0" w:space="0" w:color="auto"/>
        <w:left w:val="none" w:sz="0" w:space="0" w:color="auto"/>
        <w:bottom w:val="none" w:sz="0" w:space="0" w:color="auto"/>
        <w:right w:val="none" w:sz="0" w:space="0" w:color="auto"/>
      </w:divBdr>
    </w:div>
    <w:div w:id="1361124515">
      <w:bodyDiv w:val="1"/>
      <w:marLeft w:val="0"/>
      <w:marRight w:val="0"/>
      <w:marTop w:val="0"/>
      <w:marBottom w:val="0"/>
      <w:divBdr>
        <w:top w:val="none" w:sz="0" w:space="0" w:color="auto"/>
        <w:left w:val="none" w:sz="0" w:space="0" w:color="auto"/>
        <w:bottom w:val="none" w:sz="0" w:space="0" w:color="auto"/>
        <w:right w:val="none" w:sz="0" w:space="0" w:color="auto"/>
      </w:divBdr>
    </w:div>
    <w:div w:id="1376270979">
      <w:bodyDiv w:val="1"/>
      <w:marLeft w:val="0"/>
      <w:marRight w:val="0"/>
      <w:marTop w:val="0"/>
      <w:marBottom w:val="0"/>
      <w:divBdr>
        <w:top w:val="none" w:sz="0" w:space="0" w:color="auto"/>
        <w:left w:val="none" w:sz="0" w:space="0" w:color="auto"/>
        <w:bottom w:val="none" w:sz="0" w:space="0" w:color="auto"/>
        <w:right w:val="none" w:sz="0" w:space="0" w:color="auto"/>
      </w:divBdr>
    </w:div>
    <w:div w:id="1381595539">
      <w:bodyDiv w:val="1"/>
      <w:marLeft w:val="0"/>
      <w:marRight w:val="0"/>
      <w:marTop w:val="0"/>
      <w:marBottom w:val="0"/>
      <w:divBdr>
        <w:top w:val="none" w:sz="0" w:space="0" w:color="auto"/>
        <w:left w:val="none" w:sz="0" w:space="0" w:color="auto"/>
        <w:bottom w:val="none" w:sz="0" w:space="0" w:color="auto"/>
        <w:right w:val="none" w:sz="0" w:space="0" w:color="auto"/>
      </w:divBdr>
    </w:div>
    <w:div w:id="1389919236">
      <w:bodyDiv w:val="1"/>
      <w:marLeft w:val="0"/>
      <w:marRight w:val="0"/>
      <w:marTop w:val="0"/>
      <w:marBottom w:val="0"/>
      <w:divBdr>
        <w:top w:val="none" w:sz="0" w:space="0" w:color="auto"/>
        <w:left w:val="none" w:sz="0" w:space="0" w:color="auto"/>
        <w:bottom w:val="none" w:sz="0" w:space="0" w:color="auto"/>
        <w:right w:val="none" w:sz="0" w:space="0" w:color="auto"/>
      </w:divBdr>
    </w:div>
    <w:div w:id="1476296438">
      <w:bodyDiv w:val="1"/>
      <w:marLeft w:val="0"/>
      <w:marRight w:val="0"/>
      <w:marTop w:val="0"/>
      <w:marBottom w:val="0"/>
      <w:divBdr>
        <w:top w:val="none" w:sz="0" w:space="0" w:color="auto"/>
        <w:left w:val="none" w:sz="0" w:space="0" w:color="auto"/>
        <w:bottom w:val="none" w:sz="0" w:space="0" w:color="auto"/>
        <w:right w:val="none" w:sz="0" w:space="0" w:color="auto"/>
      </w:divBdr>
    </w:div>
    <w:div w:id="1502501815">
      <w:bodyDiv w:val="1"/>
      <w:marLeft w:val="0"/>
      <w:marRight w:val="0"/>
      <w:marTop w:val="0"/>
      <w:marBottom w:val="0"/>
      <w:divBdr>
        <w:top w:val="none" w:sz="0" w:space="0" w:color="auto"/>
        <w:left w:val="none" w:sz="0" w:space="0" w:color="auto"/>
        <w:bottom w:val="none" w:sz="0" w:space="0" w:color="auto"/>
        <w:right w:val="none" w:sz="0" w:space="0" w:color="auto"/>
      </w:divBdr>
    </w:div>
    <w:div w:id="151730685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56896398">
      <w:bodyDiv w:val="1"/>
      <w:marLeft w:val="0"/>
      <w:marRight w:val="0"/>
      <w:marTop w:val="0"/>
      <w:marBottom w:val="0"/>
      <w:divBdr>
        <w:top w:val="none" w:sz="0" w:space="0" w:color="auto"/>
        <w:left w:val="none" w:sz="0" w:space="0" w:color="auto"/>
        <w:bottom w:val="none" w:sz="0" w:space="0" w:color="auto"/>
        <w:right w:val="none" w:sz="0" w:space="0" w:color="auto"/>
      </w:divBdr>
    </w:div>
    <w:div w:id="1570655821">
      <w:bodyDiv w:val="1"/>
      <w:marLeft w:val="0"/>
      <w:marRight w:val="0"/>
      <w:marTop w:val="0"/>
      <w:marBottom w:val="0"/>
      <w:divBdr>
        <w:top w:val="none" w:sz="0" w:space="0" w:color="auto"/>
        <w:left w:val="none" w:sz="0" w:space="0" w:color="auto"/>
        <w:bottom w:val="none" w:sz="0" w:space="0" w:color="auto"/>
        <w:right w:val="none" w:sz="0" w:space="0" w:color="auto"/>
      </w:divBdr>
    </w:div>
    <w:div w:id="1574197641">
      <w:bodyDiv w:val="1"/>
      <w:marLeft w:val="0"/>
      <w:marRight w:val="0"/>
      <w:marTop w:val="0"/>
      <w:marBottom w:val="0"/>
      <w:divBdr>
        <w:top w:val="none" w:sz="0" w:space="0" w:color="auto"/>
        <w:left w:val="none" w:sz="0" w:space="0" w:color="auto"/>
        <w:bottom w:val="none" w:sz="0" w:space="0" w:color="auto"/>
        <w:right w:val="none" w:sz="0" w:space="0" w:color="auto"/>
      </w:divBdr>
    </w:div>
    <w:div w:id="1574704818">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05259165">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3876381">
      <w:bodyDiv w:val="1"/>
      <w:marLeft w:val="0"/>
      <w:marRight w:val="0"/>
      <w:marTop w:val="0"/>
      <w:marBottom w:val="0"/>
      <w:divBdr>
        <w:top w:val="none" w:sz="0" w:space="0" w:color="auto"/>
        <w:left w:val="none" w:sz="0" w:space="0" w:color="auto"/>
        <w:bottom w:val="none" w:sz="0" w:space="0" w:color="auto"/>
        <w:right w:val="none" w:sz="0" w:space="0" w:color="auto"/>
      </w:divBdr>
    </w:div>
    <w:div w:id="1656182360">
      <w:bodyDiv w:val="1"/>
      <w:marLeft w:val="0"/>
      <w:marRight w:val="0"/>
      <w:marTop w:val="0"/>
      <w:marBottom w:val="0"/>
      <w:divBdr>
        <w:top w:val="none" w:sz="0" w:space="0" w:color="auto"/>
        <w:left w:val="none" w:sz="0" w:space="0" w:color="auto"/>
        <w:bottom w:val="none" w:sz="0" w:space="0" w:color="auto"/>
        <w:right w:val="none" w:sz="0" w:space="0" w:color="auto"/>
      </w:divBdr>
    </w:div>
    <w:div w:id="1656913730">
      <w:bodyDiv w:val="1"/>
      <w:marLeft w:val="0"/>
      <w:marRight w:val="0"/>
      <w:marTop w:val="0"/>
      <w:marBottom w:val="0"/>
      <w:divBdr>
        <w:top w:val="none" w:sz="0" w:space="0" w:color="auto"/>
        <w:left w:val="none" w:sz="0" w:space="0" w:color="auto"/>
        <w:bottom w:val="none" w:sz="0" w:space="0" w:color="auto"/>
        <w:right w:val="none" w:sz="0" w:space="0" w:color="auto"/>
      </w:divBdr>
    </w:div>
    <w:div w:id="1657566682">
      <w:bodyDiv w:val="1"/>
      <w:marLeft w:val="0"/>
      <w:marRight w:val="0"/>
      <w:marTop w:val="0"/>
      <w:marBottom w:val="0"/>
      <w:divBdr>
        <w:top w:val="none" w:sz="0" w:space="0" w:color="auto"/>
        <w:left w:val="none" w:sz="0" w:space="0" w:color="auto"/>
        <w:bottom w:val="none" w:sz="0" w:space="0" w:color="auto"/>
        <w:right w:val="none" w:sz="0" w:space="0" w:color="auto"/>
      </w:divBdr>
    </w:div>
    <w:div w:id="1673489957">
      <w:bodyDiv w:val="1"/>
      <w:marLeft w:val="0"/>
      <w:marRight w:val="0"/>
      <w:marTop w:val="0"/>
      <w:marBottom w:val="0"/>
      <w:divBdr>
        <w:top w:val="none" w:sz="0" w:space="0" w:color="auto"/>
        <w:left w:val="none" w:sz="0" w:space="0" w:color="auto"/>
        <w:bottom w:val="none" w:sz="0" w:space="0" w:color="auto"/>
        <w:right w:val="none" w:sz="0" w:space="0" w:color="auto"/>
      </w:divBdr>
    </w:div>
    <w:div w:id="1688209769">
      <w:bodyDiv w:val="1"/>
      <w:marLeft w:val="0"/>
      <w:marRight w:val="0"/>
      <w:marTop w:val="0"/>
      <w:marBottom w:val="0"/>
      <w:divBdr>
        <w:top w:val="none" w:sz="0" w:space="0" w:color="auto"/>
        <w:left w:val="none" w:sz="0" w:space="0" w:color="auto"/>
        <w:bottom w:val="none" w:sz="0" w:space="0" w:color="auto"/>
        <w:right w:val="none" w:sz="0" w:space="0" w:color="auto"/>
      </w:divBdr>
    </w:div>
    <w:div w:id="1691907368">
      <w:bodyDiv w:val="1"/>
      <w:marLeft w:val="0"/>
      <w:marRight w:val="0"/>
      <w:marTop w:val="0"/>
      <w:marBottom w:val="0"/>
      <w:divBdr>
        <w:top w:val="none" w:sz="0" w:space="0" w:color="auto"/>
        <w:left w:val="none" w:sz="0" w:space="0" w:color="auto"/>
        <w:bottom w:val="none" w:sz="0" w:space="0" w:color="auto"/>
        <w:right w:val="none" w:sz="0" w:space="0" w:color="auto"/>
      </w:divBdr>
    </w:div>
    <w:div w:id="1694961747">
      <w:bodyDiv w:val="1"/>
      <w:marLeft w:val="0"/>
      <w:marRight w:val="0"/>
      <w:marTop w:val="0"/>
      <w:marBottom w:val="0"/>
      <w:divBdr>
        <w:top w:val="none" w:sz="0" w:space="0" w:color="auto"/>
        <w:left w:val="none" w:sz="0" w:space="0" w:color="auto"/>
        <w:bottom w:val="none" w:sz="0" w:space="0" w:color="auto"/>
        <w:right w:val="none" w:sz="0" w:space="0" w:color="auto"/>
      </w:divBdr>
    </w:div>
    <w:div w:id="1699545422">
      <w:bodyDiv w:val="1"/>
      <w:marLeft w:val="0"/>
      <w:marRight w:val="0"/>
      <w:marTop w:val="0"/>
      <w:marBottom w:val="0"/>
      <w:divBdr>
        <w:top w:val="none" w:sz="0" w:space="0" w:color="auto"/>
        <w:left w:val="none" w:sz="0" w:space="0" w:color="auto"/>
        <w:bottom w:val="none" w:sz="0" w:space="0" w:color="auto"/>
        <w:right w:val="none" w:sz="0" w:space="0" w:color="auto"/>
      </w:divBdr>
    </w:div>
    <w:div w:id="1712145997">
      <w:bodyDiv w:val="1"/>
      <w:marLeft w:val="0"/>
      <w:marRight w:val="0"/>
      <w:marTop w:val="0"/>
      <w:marBottom w:val="0"/>
      <w:divBdr>
        <w:top w:val="none" w:sz="0" w:space="0" w:color="auto"/>
        <w:left w:val="none" w:sz="0" w:space="0" w:color="auto"/>
        <w:bottom w:val="none" w:sz="0" w:space="0" w:color="auto"/>
        <w:right w:val="none" w:sz="0" w:space="0" w:color="auto"/>
      </w:divBdr>
    </w:div>
    <w:div w:id="1729306009">
      <w:bodyDiv w:val="1"/>
      <w:marLeft w:val="0"/>
      <w:marRight w:val="0"/>
      <w:marTop w:val="0"/>
      <w:marBottom w:val="0"/>
      <w:divBdr>
        <w:top w:val="none" w:sz="0" w:space="0" w:color="auto"/>
        <w:left w:val="none" w:sz="0" w:space="0" w:color="auto"/>
        <w:bottom w:val="none" w:sz="0" w:space="0" w:color="auto"/>
        <w:right w:val="none" w:sz="0" w:space="0" w:color="auto"/>
      </w:divBdr>
    </w:div>
    <w:div w:id="1738741215">
      <w:bodyDiv w:val="1"/>
      <w:marLeft w:val="0"/>
      <w:marRight w:val="0"/>
      <w:marTop w:val="0"/>
      <w:marBottom w:val="0"/>
      <w:divBdr>
        <w:top w:val="none" w:sz="0" w:space="0" w:color="auto"/>
        <w:left w:val="none" w:sz="0" w:space="0" w:color="auto"/>
        <w:bottom w:val="none" w:sz="0" w:space="0" w:color="auto"/>
        <w:right w:val="none" w:sz="0" w:space="0" w:color="auto"/>
      </w:divBdr>
    </w:div>
    <w:div w:id="1745570163">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54620258">
      <w:bodyDiv w:val="1"/>
      <w:marLeft w:val="0"/>
      <w:marRight w:val="0"/>
      <w:marTop w:val="0"/>
      <w:marBottom w:val="0"/>
      <w:divBdr>
        <w:top w:val="none" w:sz="0" w:space="0" w:color="auto"/>
        <w:left w:val="none" w:sz="0" w:space="0" w:color="auto"/>
        <w:bottom w:val="none" w:sz="0" w:space="0" w:color="auto"/>
        <w:right w:val="none" w:sz="0" w:space="0" w:color="auto"/>
      </w:divBdr>
    </w:div>
    <w:div w:id="1761100924">
      <w:bodyDiv w:val="1"/>
      <w:marLeft w:val="0"/>
      <w:marRight w:val="0"/>
      <w:marTop w:val="0"/>
      <w:marBottom w:val="0"/>
      <w:divBdr>
        <w:top w:val="none" w:sz="0" w:space="0" w:color="auto"/>
        <w:left w:val="none" w:sz="0" w:space="0" w:color="auto"/>
        <w:bottom w:val="none" w:sz="0" w:space="0" w:color="auto"/>
        <w:right w:val="none" w:sz="0" w:space="0" w:color="auto"/>
      </w:divBdr>
    </w:div>
    <w:div w:id="1777482411">
      <w:bodyDiv w:val="1"/>
      <w:marLeft w:val="0"/>
      <w:marRight w:val="0"/>
      <w:marTop w:val="0"/>
      <w:marBottom w:val="0"/>
      <w:divBdr>
        <w:top w:val="none" w:sz="0" w:space="0" w:color="auto"/>
        <w:left w:val="none" w:sz="0" w:space="0" w:color="auto"/>
        <w:bottom w:val="none" w:sz="0" w:space="0" w:color="auto"/>
        <w:right w:val="none" w:sz="0" w:space="0" w:color="auto"/>
      </w:divBdr>
    </w:div>
    <w:div w:id="1801260317">
      <w:bodyDiv w:val="1"/>
      <w:marLeft w:val="0"/>
      <w:marRight w:val="0"/>
      <w:marTop w:val="0"/>
      <w:marBottom w:val="0"/>
      <w:divBdr>
        <w:top w:val="none" w:sz="0" w:space="0" w:color="auto"/>
        <w:left w:val="none" w:sz="0" w:space="0" w:color="auto"/>
        <w:bottom w:val="none" w:sz="0" w:space="0" w:color="auto"/>
        <w:right w:val="none" w:sz="0" w:space="0" w:color="auto"/>
      </w:divBdr>
    </w:div>
    <w:div w:id="1801921346">
      <w:bodyDiv w:val="1"/>
      <w:marLeft w:val="0"/>
      <w:marRight w:val="0"/>
      <w:marTop w:val="0"/>
      <w:marBottom w:val="0"/>
      <w:divBdr>
        <w:top w:val="none" w:sz="0" w:space="0" w:color="auto"/>
        <w:left w:val="none" w:sz="0" w:space="0" w:color="auto"/>
        <w:bottom w:val="none" w:sz="0" w:space="0" w:color="auto"/>
        <w:right w:val="none" w:sz="0" w:space="0" w:color="auto"/>
      </w:divBdr>
    </w:div>
    <w:div w:id="1812092171">
      <w:bodyDiv w:val="1"/>
      <w:marLeft w:val="0"/>
      <w:marRight w:val="0"/>
      <w:marTop w:val="0"/>
      <w:marBottom w:val="0"/>
      <w:divBdr>
        <w:top w:val="none" w:sz="0" w:space="0" w:color="auto"/>
        <w:left w:val="none" w:sz="0" w:space="0" w:color="auto"/>
        <w:bottom w:val="none" w:sz="0" w:space="0" w:color="auto"/>
        <w:right w:val="none" w:sz="0" w:space="0" w:color="auto"/>
      </w:divBdr>
    </w:div>
    <w:div w:id="1821146163">
      <w:bodyDiv w:val="1"/>
      <w:marLeft w:val="0"/>
      <w:marRight w:val="0"/>
      <w:marTop w:val="0"/>
      <w:marBottom w:val="0"/>
      <w:divBdr>
        <w:top w:val="none" w:sz="0" w:space="0" w:color="auto"/>
        <w:left w:val="none" w:sz="0" w:space="0" w:color="auto"/>
        <w:bottom w:val="none" w:sz="0" w:space="0" w:color="auto"/>
        <w:right w:val="none" w:sz="0" w:space="0" w:color="auto"/>
      </w:divBdr>
    </w:div>
    <w:div w:id="1830094536">
      <w:bodyDiv w:val="1"/>
      <w:marLeft w:val="0"/>
      <w:marRight w:val="0"/>
      <w:marTop w:val="0"/>
      <w:marBottom w:val="0"/>
      <w:divBdr>
        <w:top w:val="none" w:sz="0" w:space="0" w:color="auto"/>
        <w:left w:val="none" w:sz="0" w:space="0" w:color="auto"/>
        <w:bottom w:val="none" w:sz="0" w:space="0" w:color="auto"/>
        <w:right w:val="none" w:sz="0" w:space="0" w:color="auto"/>
      </w:divBdr>
    </w:div>
    <w:div w:id="1831095889">
      <w:bodyDiv w:val="1"/>
      <w:marLeft w:val="0"/>
      <w:marRight w:val="0"/>
      <w:marTop w:val="0"/>
      <w:marBottom w:val="0"/>
      <w:divBdr>
        <w:top w:val="none" w:sz="0" w:space="0" w:color="auto"/>
        <w:left w:val="none" w:sz="0" w:space="0" w:color="auto"/>
        <w:bottom w:val="none" w:sz="0" w:space="0" w:color="auto"/>
        <w:right w:val="none" w:sz="0" w:space="0" w:color="auto"/>
      </w:divBdr>
    </w:div>
    <w:div w:id="1839807429">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61973427">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888713749">
      <w:bodyDiv w:val="1"/>
      <w:marLeft w:val="0"/>
      <w:marRight w:val="0"/>
      <w:marTop w:val="0"/>
      <w:marBottom w:val="0"/>
      <w:divBdr>
        <w:top w:val="none" w:sz="0" w:space="0" w:color="auto"/>
        <w:left w:val="none" w:sz="0" w:space="0" w:color="auto"/>
        <w:bottom w:val="none" w:sz="0" w:space="0" w:color="auto"/>
        <w:right w:val="none" w:sz="0" w:space="0" w:color="auto"/>
      </w:divBdr>
    </w:div>
    <w:div w:id="1894458505">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17275947">
      <w:bodyDiv w:val="1"/>
      <w:marLeft w:val="0"/>
      <w:marRight w:val="0"/>
      <w:marTop w:val="0"/>
      <w:marBottom w:val="0"/>
      <w:divBdr>
        <w:top w:val="none" w:sz="0" w:space="0" w:color="auto"/>
        <w:left w:val="none" w:sz="0" w:space="0" w:color="auto"/>
        <w:bottom w:val="none" w:sz="0" w:space="0" w:color="auto"/>
        <w:right w:val="none" w:sz="0" w:space="0" w:color="auto"/>
      </w:divBdr>
    </w:div>
    <w:div w:id="1934050205">
      <w:bodyDiv w:val="1"/>
      <w:marLeft w:val="0"/>
      <w:marRight w:val="0"/>
      <w:marTop w:val="0"/>
      <w:marBottom w:val="0"/>
      <w:divBdr>
        <w:top w:val="none" w:sz="0" w:space="0" w:color="auto"/>
        <w:left w:val="none" w:sz="0" w:space="0" w:color="auto"/>
        <w:bottom w:val="none" w:sz="0" w:space="0" w:color="auto"/>
        <w:right w:val="none" w:sz="0" w:space="0" w:color="auto"/>
      </w:divBdr>
    </w:div>
    <w:div w:id="1942103240">
      <w:bodyDiv w:val="1"/>
      <w:marLeft w:val="0"/>
      <w:marRight w:val="0"/>
      <w:marTop w:val="0"/>
      <w:marBottom w:val="0"/>
      <w:divBdr>
        <w:top w:val="none" w:sz="0" w:space="0" w:color="auto"/>
        <w:left w:val="none" w:sz="0" w:space="0" w:color="auto"/>
        <w:bottom w:val="none" w:sz="0" w:space="0" w:color="auto"/>
        <w:right w:val="none" w:sz="0" w:space="0" w:color="auto"/>
      </w:divBdr>
    </w:div>
    <w:div w:id="1948417247">
      <w:bodyDiv w:val="1"/>
      <w:marLeft w:val="0"/>
      <w:marRight w:val="0"/>
      <w:marTop w:val="0"/>
      <w:marBottom w:val="0"/>
      <w:divBdr>
        <w:top w:val="none" w:sz="0" w:space="0" w:color="auto"/>
        <w:left w:val="none" w:sz="0" w:space="0" w:color="auto"/>
        <w:bottom w:val="none" w:sz="0" w:space="0" w:color="auto"/>
        <w:right w:val="none" w:sz="0" w:space="0" w:color="auto"/>
      </w:divBdr>
    </w:div>
    <w:div w:id="1960181763">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1986428024">
      <w:bodyDiv w:val="1"/>
      <w:marLeft w:val="0"/>
      <w:marRight w:val="0"/>
      <w:marTop w:val="0"/>
      <w:marBottom w:val="0"/>
      <w:divBdr>
        <w:top w:val="none" w:sz="0" w:space="0" w:color="auto"/>
        <w:left w:val="none" w:sz="0" w:space="0" w:color="auto"/>
        <w:bottom w:val="none" w:sz="0" w:space="0" w:color="auto"/>
        <w:right w:val="none" w:sz="0" w:space="0" w:color="auto"/>
      </w:divBdr>
    </w:div>
    <w:div w:id="1999845100">
      <w:bodyDiv w:val="1"/>
      <w:marLeft w:val="0"/>
      <w:marRight w:val="0"/>
      <w:marTop w:val="0"/>
      <w:marBottom w:val="0"/>
      <w:divBdr>
        <w:top w:val="none" w:sz="0" w:space="0" w:color="auto"/>
        <w:left w:val="none" w:sz="0" w:space="0" w:color="auto"/>
        <w:bottom w:val="none" w:sz="0" w:space="0" w:color="auto"/>
        <w:right w:val="none" w:sz="0" w:space="0" w:color="auto"/>
      </w:divBdr>
    </w:div>
    <w:div w:id="2012171426">
      <w:bodyDiv w:val="1"/>
      <w:marLeft w:val="0"/>
      <w:marRight w:val="0"/>
      <w:marTop w:val="0"/>
      <w:marBottom w:val="0"/>
      <w:divBdr>
        <w:top w:val="none" w:sz="0" w:space="0" w:color="auto"/>
        <w:left w:val="none" w:sz="0" w:space="0" w:color="auto"/>
        <w:bottom w:val="none" w:sz="0" w:space="0" w:color="auto"/>
        <w:right w:val="none" w:sz="0" w:space="0" w:color="auto"/>
      </w:divBdr>
    </w:div>
    <w:div w:id="2013869846">
      <w:bodyDiv w:val="1"/>
      <w:marLeft w:val="0"/>
      <w:marRight w:val="0"/>
      <w:marTop w:val="0"/>
      <w:marBottom w:val="0"/>
      <w:divBdr>
        <w:top w:val="none" w:sz="0" w:space="0" w:color="auto"/>
        <w:left w:val="none" w:sz="0" w:space="0" w:color="auto"/>
        <w:bottom w:val="none" w:sz="0" w:space="0" w:color="auto"/>
        <w:right w:val="none" w:sz="0" w:space="0" w:color="auto"/>
      </w:divBdr>
    </w:div>
    <w:div w:id="2016303546">
      <w:bodyDiv w:val="1"/>
      <w:marLeft w:val="0"/>
      <w:marRight w:val="0"/>
      <w:marTop w:val="0"/>
      <w:marBottom w:val="0"/>
      <w:divBdr>
        <w:top w:val="none" w:sz="0" w:space="0" w:color="auto"/>
        <w:left w:val="none" w:sz="0" w:space="0" w:color="auto"/>
        <w:bottom w:val="none" w:sz="0" w:space="0" w:color="auto"/>
        <w:right w:val="none" w:sz="0" w:space="0" w:color="auto"/>
      </w:divBdr>
    </w:div>
    <w:div w:id="2021077385">
      <w:bodyDiv w:val="1"/>
      <w:marLeft w:val="0"/>
      <w:marRight w:val="0"/>
      <w:marTop w:val="0"/>
      <w:marBottom w:val="0"/>
      <w:divBdr>
        <w:top w:val="none" w:sz="0" w:space="0" w:color="auto"/>
        <w:left w:val="none" w:sz="0" w:space="0" w:color="auto"/>
        <w:bottom w:val="none" w:sz="0" w:space="0" w:color="auto"/>
        <w:right w:val="none" w:sz="0" w:space="0" w:color="auto"/>
      </w:divBdr>
    </w:div>
    <w:div w:id="2022900759">
      <w:bodyDiv w:val="1"/>
      <w:marLeft w:val="0"/>
      <w:marRight w:val="0"/>
      <w:marTop w:val="0"/>
      <w:marBottom w:val="0"/>
      <w:divBdr>
        <w:top w:val="none" w:sz="0" w:space="0" w:color="auto"/>
        <w:left w:val="none" w:sz="0" w:space="0" w:color="auto"/>
        <w:bottom w:val="none" w:sz="0" w:space="0" w:color="auto"/>
        <w:right w:val="none" w:sz="0" w:space="0" w:color="auto"/>
      </w:divBdr>
    </w:div>
    <w:div w:id="2023587367">
      <w:bodyDiv w:val="1"/>
      <w:marLeft w:val="0"/>
      <w:marRight w:val="0"/>
      <w:marTop w:val="0"/>
      <w:marBottom w:val="0"/>
      <w:divBdr>
        <w:top w:val="none" w:sz="0" w:space="0" w:color="auto"/>
        <w:left w:val="none" w:sz="0" w:space="0" w:color="auto"/>
        <w:bottom w:val="none" w:sz="0" w:space="0" w:color="auto"/>
        <w:right w:val="none" w:sz="0" w:space="0" w:color="auto"/>
      </w:divBdr>
    </w:div>
    <w:div w:id="2033258728">
      <w:bodyDiv w:val="1"/>
      <w:marLeft w:val="0"/>
      <w:marRight w:val="0"/>
      <w:marTop w:val="0"/>
      <w:marBottom w:val="0"/>
      <w:divBdr>
        <w:top w:val="none" w:sz="0" w:space="0" w:color="auto"/>
        <w:left w:val="none" w:sz="0" w:space="0" w:color="auto"/>
        <w:bottom w:val="none" w:sz="0" w:space="0" w:color="auto"/>
        <w:right w:val="none" w:sz="0" w:space="0" w:color="auto"/>
      </w:divBdr>
      <w:divsChild>
        <w:div w:id="1652558949">
          <w:marLeft w:val="0"/>
          <w:marRight w:val="0"/>
          <w:marTop w:val="0"/>
          <w:marBottom w:val="0"/>
          <w:divBdr>
            <w:top w:val="none" w:sz="0" w:space="0" w:color="auto"/>
            <w:left w:val="none" w:sz="0" w:space="0" w:color="auto"/>
            <w:bottom w:val="none" w:sz="0" w:space="0" w:color="auto"/>
            <w:right w:val="none" w:sz="0" w:space="0" w:color="auto"/>
          </w:divBdr>
        </w:div>
      </w:divsChild>
    </w:div>
    <w:div w:id="2048796177">
      <w:bodyDiv w:val="1"/>
      <w:marLeft w:val="0"/>
      <w:marRight w:val="0"/>
      <w:marTop w:val="0"/>
      <w:marBottom w:val="0"/>
      <w:divBdr>
        <w:top w:val="none" w:sz="0" w:space="0" w:color="auto"/>
        <w:left w:val="none" w:sz="0" w:space="0" w:color="auto"/>
        <w:bottom w:val="none" w:sz="0" w:space="0" w:color="auto"/>
        <w:right w:val="none" w:sz="0" w:space="0" w:color="auto"/>
      </w:divBdr>
    </w:div>
    <w:div w:id="205916406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79983717">
      <w:bodyDiv w:val="1"/>
      <w:marLeft w:val="0"/>
      <w:marRight w:val="0"/>
      <w:marTop w:val="0"/>
      <w:marBottom w:val="0"/>
      <w:divBdr>
        <w:top w:val="none" w:sz="0" w:space="0" w:color="auto"/>
        <w:left w:val="none" w:sz="0" w:space="0" w:color="auto"/>
        <w:bottom w:val="none" w:sz="0" w:space="0" w:color="auto"/>
        <w:right w:val="none" w:sz="0" w:space="0" w:color="auto"/>
      </w:divBdr>
    </w:div>
    <w:div w:id="2102992579">
      <w:bodyDiv w:val="1"/>
      <w:marLeft w:val="0"/>
      <w:marRight w:val="0"/>
      <w:marTop w:val="0"/>
      <w:marBottom w:val="0"/>
      <w:divBdr>
        <w:top w:val="none" w:sz="0" w:space="0" w:color="auto"/>
        <w:left w:val="none" w:sz="0" w:space="0" w:color="auto"/>
        <w:bottom w:val="none" w:sz="0" w:space="0" w:color="auto"/>
        <w:right w:val="none" w:sz="0" w:space="0" w:color="auto"/>
      </w:divBdr>
    </w:div>
    <w:div w:id="2113278812">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4191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RP181674</b:Tag>
    <b:SourceType>Report</b:SourceType>
    <b:Guid>{9F00C6EA-FC82-4213-AE3E-F1F3465AE451}</b:Guid>
    <b:Title>RP-181674: "WID: Additional enhancements for NB-IoT"</b:Title>
    <b:RefOrder>1</b:RefOrder>
  </b:Source>
  <b:Source>
    <b:Tag>R11811658</b:Tag>
    <b:SourceType>Report</b:SourceType>
    <b:Guid>{BF478EAA-7030-4902-A595-3A3365B62A93}</b:Guid>
    <b:Title>R1-1811658: Summary of 6.2.1.1 UE group MWUS</b:Title>
    <b:RefOrder>3</b:RefOrder>
  </b:Source>
  <b:Source>
    <b:Tag>R11811664</b:Tag>
    <b:SourceType>Report</b:SourceType>
    <b:Guid>{ABE053DA-9E83-4E1D-A3A4-8F8BF590BFAD}</b:Guid>
    <b:Title>R1-1811664: Feature summary of UE-group wake-up signal for NB-IoT</b:Title>
    <b:RefOrder>4</b:RefOrder>
  </b:Source>
  <b:Source>
    <b:Tag>R11810051</b:Tag>
    <b:SourceType>Report</b:SourceType>
    <b:Guid>{79F3BD62-C40D-4454-B666-B8569C1E67F2}</b:Guid>
    <b:Title>R1-1810051: Final Report of 3GPP TSG RAN WG1 #94 v1.0.0</b:Title>
    <b:City>Gothenburg</b:City>
    <b:RefOrder>2</b:RefOrder>
  </b:Source>
</b:Sources>
</file>

<file path=customXml/itemProps1.xml><?xml version="1.0" encoding="utf-8"?>
<ds:datastoreItem xmlns:ds="http://schemas.openxmlformats.org/officeDocument/2006/customXml" ds:itemID="{92393F3F-1D26-4E54-BDBF-DDFD2502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1114</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2018-11-01T13:20:00Z</dcterms:created>
  <dcterms:modified xsi:type="dcterms:W3CDTF">2018-11-01T16:00:00Z</dcterms:modified>
</cp:coreProperties>
</file>